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DC58" w14:textId="77777777" w:rsidR="007607D5" w:rsidRPr="009F71D8" w:rsidRDefault="007607D5" w:rsidP="007607D5">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VOTO PARTICULAR</w:t>
      </w:r>
      <w:r w:rsidR="00A3041A">
        <w:rPr>
          <w:rFonts w:ascii="Palatino Linotype" w:hAnsi="Palatino Linotype" w:cs="Arial"/>
          <w:b/>
          <w:sz w:val="24"/>
          <w:szCs w:val="24"/>
        </w:rPr>
        <w:t xml:space="preserve"> CONCURRENTE</w:t>
      </w:r>
      <w:r w:rsidRPr="009F71D8">
        <w:rPr>
          <w:rFonts w:ascii="Palatino Linotype" w:hAnsi="Palatino Linotype" w:cs="Arial"/>
          <w:b/>
          <w:sz w:val="24"/>
          <w:szCs w:val="24"/>
        </w:rPr>
        <w:t xml:space="preserve"> QUE FORMULA</w:t>
      </w:r>
      <w:r w:rsidR="00A3041A">
        <w:rPr>
          <w:rFonts w:ascii="Palatino Linotype" w:hAnsi="Palatino Linotype" w:cs="Arial"/>
          <w:b/>
          <w:sz w:val="24"/>
          <w:szCs w:val="24"/>
        </w:rPr>
        <w:t>N</w:t>
      </w:r>
      <w:r w:rsidRPr="009F71D8">
        <w:rPr>
          <w:rFonts w:ascii="Palatino Linotype" w:hAnsi="Palatino Linotype" w:cs="Arial"/>
          <w:b/>
          <w:sz w:val="24"/>
          <w:szCs w:val="24"/>
        </w:rPr>
        <w:t xml:space="preserve"> LA</w:t>
      </w:r>
      <w:r w:rsidR="00A3041A">
        <w:rPr>
          <w:rFonts w:ascii="Palatino Linotype" w:hAnsi="Palatino Linotype" w:cs="Arial"/>
          <w:b/>
          <w:sz w:val="24"/>
          <w:szCs w:val="24"/>
        </w:rPr>
        <w:t xml:space="preserve"> COMISIONADA EVA ABAID YAPUR Y EL COMISIONADO JOSÉ GUADALUPE LUNA HERNÁNDEZ, </w:t>
      </w:r>
      <w:r w:rsidRPr="009F71D8">
        <w:rPr>
          <w:rFonts w:ascii="Palatino Linotype" w:hAnsi="Palatino Linotype" w:cs="Arial"/>
          <w:b/>
          <w:sz w:val="24"/>
          <w:szCs w:val="24"/>
        </w:rPr>
        <w:t>EN RELACIÓN CON LA RESOLUCIÓN DICTADA POR EL PLENO DEL INSTITUTO DE TRANSPARENCIA, ACCESO A LA INFORMACIÓN PÚBLICA Y PROTECCIÓN DE DATOS PERSONALES DEL ESTADO DE MÉXICO Y MUNICIPIOS, EN LA CUADRAG</w:t>
      </w:r>
      <w:r>
        <w:rPr>
          <w:rFonts w:ascii="Palatino Linotype" w:hAnsi="Palatino Linotype" w:cs="Arial"/>
          <w:b/>
          <w:sz w:val="24"/>
          <w:szCs w:val="24"/>
        </w:rPr>
        <w:t xml:space="preserve">ÉSIMA TERCERA </w:t>
      </w:r>
      <w:r w:rsidRPr="009F71D8">
        <w:rPr>
          <w:rFonts w:ascii="Palatino Linotype" w:hAnsi="Palatino Linotype" w:cs="Arial"/>
          <w:b/>
          <w:sz w:val="24"/>
          <w:szCs w:val="24"/>
        </w:rPr>
        <w:t xml:space="preserve">SESIÓN ORDINARIA DE </w:t>
      </w:r>
      <w:r>
        <w:rPr>
          <w:rFonts w:ascii="Palatino Linotype" w:hAnsi="Palatino Linotype" w:cs="Arial"/>
          <w:b/>
          <w:sz w:val="24"/>
          <w:szCs w:val="24"/>
        </w:rPr>
        <w:t>VEINTIDÓS DE NOVIEMBRE DE DO</w:t>
      </w:r>
      <w:r w:rsidRPr="009F71D8">
        <w:rPr>
          <w:rFonts w:ascii="Palatino Linotype" w:hAnsi="Palatino Linotype" w:cs="Arial"/>
          <w:b/>
          <w:sz w:val="24"/>
          <w:szCs w:val="24"/>
        </w:rPr>
        <w:t>S MIL DIECI</w:t>
      </w:r>
      <w:r>
        <w:rPr>
          <w:rFonts w:ascii="Palatino Linotype" w:hAnsi="Palatino Linotype" w:cs="Arial"/>
          <w:b/>
          <w:sz w:val="24"/>
          <w:szCs w:val="24"/>
        </w:rPr>
        <w:t>OCHO</w:t>
      </w:r>
      <w:r w:rsidRPr="009F71D8">
        <w:rPr>
          <w:rFonts w:ascii="Palatino Linotype" w:hAnsi="Palatino Linotype" w:cs="Arial"/>
          <w:b/>
          <w:sz w:val="24"/>
          <w:szCs w:val="24"/>
        </w:rPr>
        <w:t xml:space="preserve">, EN EL RECURSO DE REVISIÓN </w:t>
      </w:r>
      <w:r w:rsidRPr="009F71D8">
        <w:rPr>
          <w:rFonts w:ascii="Palatino Linotype" w:hAnsi="Palatino Linotype" w:cs="Arial"/>
          <w:b/>
          <w:bCs/>
          <w:sz w:val="24"/>
          <w:szCs w:val="24"/>
        </w:rPr>
        <w:t>0</w:t>
      </w:r>
      <w:r>
        <w:rPr>
          <w:rFonts w:ascii="Palatino Linotype" w:hAnsi="Palatino Linotype" w:cs="Arial"/>
          <w:b/>
          <w:bCs/>
          <w:sz w:val="24"/>
          <w:szCs w:val="24"/>
        </w:rPr>
        <w:t>3545</w:t>
      </w:r>
      <w:r w:rsidRPr="009F71D8">
        <w:rPr>
          <w:rFonts w:ascii="Palatino Linotype" w:hAnsi="Palatino Linotype" w:cs="Arial"/>
          <w:b/>
          <w:bCs/>
          <w:sz w:val="24"/>
          <w:szCs w:val="24"/>
        </w:rPr>
        <w:t>/INFOEM/IP/RR/20</w:t>
      </w:r>
      <w:r>
        <w:rPr>
          <w:rFonts w:ascii="Palatino Linotype" w:hAnsi="Palatino Linotype" w:cs="Arial"/>
          <w:b/>
          <w:bCs/>
          <w:sz w:val="24"/>
          <w:szCs w:val="24"/>
        </w:rPr>
        <w:t>18</w:t>
      </w:r>
      <w:r w:rsidRPr="009F71D8">
        <w:rPr>
          <w:rFonts w:ascii="Palatino Linotype" w:hAnsi="Palatino Linotype" w:cs="Arial"/>
          <w:b/>
          <w:bCs/>
          <w:sz w:val="24"/>
          <w:szCs w:val="24"/>
        </w:rPr>
        <w:t>.</w:t>
      </w:r>
    </w:p>
    <w:p w14:paraId="0B39FF2D" w14:textId="77777777" w:rsidR="007607D5" w:rsidRPr="009F71D8" w:rsidRDefault="007607D5" w:rsidP="007607D5">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w:t>
      </w:r>
      <w:r w:rsidR="00A3041A">
        <w:rPr>
          <w:rFonts w:ascii="Palatino Linotype" w:hAnsi="Palatino Linotype" w:cs="Arial"/>
          <w:sz w:val="24"/>
          <w:szCs w:val="24"/>
        </w:rPr>
        <w:t xml:space="preserve">stado de México y Municipios, los </w:t>
      </w:r>
      <w:r w:rsidRPr="009F71D8">
        <w:rPr>
          <w:rFonts w:ascii="Palatino Linotype" w:hAnsi="Palatino Linotype" w:cs="Arial"/>
          <w:sz w:val="24"/>
          <w:szCs w:val="24"/>
        </w:rPr>
        <w:t>que suscribe</w:t>
      </w:r>
      <w:r w:rsidR="00A3041A">
        <w:rPr>
          <w:rFonts w:ascii="Palatino Linotype" w:hAnsi="Palatino Linotype" w:cs="Arial"/>
          <w:sz w:val="24"/>
          <w:szCs w:val="24"/>
        </w:rPr>
        <w:t>n</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EVA ABAID YAPUR</w:t>
      </w:r>
      <w:r w:rsidR="00A3041A">
        <w:rPr>
          <w:rFonts w:ascii="Palatino Linotype" w:hAnsi="Palatino Linotype" w:cs="Arial"/>
          <w:b/>
          <w:sz w:val="24"/>
          <w:szCs w:val="24"/>
        </w:rPr>
        <w:t xml:space="preserve"> </w:t>
      </w:r>
      <w:r w:rsidR="00A3041A">
        <w:rPr>
          <w:rFonts w:ascii="Palatino Linotype" w:hAnsi="Palatino Linotype" w:cs="Arial"/>
          <w:sz w:val="24"/>
          <w:szCs w:val="24"/>
        </w:rPr>
        <w:t xml:space="preserve">y </w:t>
      </w:r>
      <w:r w:rsidR="00A3041A">
        <w:rPr>
          <w:rFonts w:ascii="Palatino Linotype" w:hAnsi="Palatino Linotype" w:cs="Arial"/>
          <w:b/>
          <w:sz w:val="24"/>
          <w:szCs w:val="24"/>
        </w:rPr>
        <w:t>JOSÉ GUADALUPE LUNA HERNÁNDEZ,</w:t>
      </w:r>
      <w:r w:rsidRPr="009F71D8">
        <w:rPr>
          <w:rFonts w:ascii="Palatino Linotype" w:hAnsi="Palatino Linotype" w:cs="Arial"/>
          <w:b/>
          <w:sz w:val="24"/>
          <w:szCs w:val="24"/>
        </w:rPr>
        <w:t xml:space="preserve"> </w:t>
      </w:r>
      <w:r w:rsidRPr="009F71D8">
        <w:rPr>
          <w:rFonts w:ascii="Palatino Linotype" w:hAnsi="Palatino Linotype" w:cs="Arial"/>
          <w:sz w:val="24"/>
          <w:szCs w:val="24"/>
        </w:rPr>
        <w:t>emite</w:t>
      </w:r>
      <w:r w:rsidR="00A3041A">
        <w:rPr>
          <w:rFonts w:ascii="Palatino Linotype" w:hAnsi="Palatino Linotype" w:cs="Arial"/>
          <w:sz w:val="24"/>
          <w:szCs w:val="24"/>
        </w:rPr>
        <w:t>n</w:t>
      </w:r>
      <w:r w:rsidRPr="009F71D8">
        <w:rPr>
          <w:rFonts w:ascii="Palatino Linotype" w:hAnsi="Palatino Linotype" w:cs="Arial"/>
          <w:sz w:val="24"/>
          <w:szCs w:val="24"/>
        </w:rPr>
        <w:t xml:space="preserve"> </w:t>
      </w:r>
      <w:r w:rsidRPr="009F71D8">
        <w:rPr>
          <w:rFonts w:ascii="Palatino Linotype" w:hAnsi="Palatino Linotype" w:cs="Arial"/>
          <w:b/>
          <w:sz w:val="24"/>
          <w:szCs w:val="24"/>
        </w:rPr>
        <w:t>VOTO PARTICULAR</w:t>
      </w:r>
      <w:r w:rsidR="00A3041A">
        <w:rPr>
          <w:rFonts w:ascii="Palatino Linotype" w:hAnsi="Palatino Linotype" w:cs="Arial"/>
          <w:b/>
          <w:sz w:val="24"/>
          <w:szCs w:val="24"/>
        </w:rPr>
        <w:t xml:space="preserve"> CONCURRENTE</w:t>
      </w:r>
      <w:r w:rsidRPr="009F71D8">
        <w:rPr>
          <w:rFonts w:ascii="Palatino Linotype" w:hAnsi="Palatino Linotype" w:cs="Arial"/>
          <w:b/>
          <w:sz w:val="24"/>
          <w:szCs w:val="24"/>
        </w:rPr>
        <w:t xml:space="preserve"> </w:t>
      </w:r>
      <w:r w:rsidRPr="009F71D8">
        <w:rPr>
          <w:rFonts w:ascii="Palatino Linotype" w:hAnsi="Palatino Linotype" w:cs="Arial"/>
          <w:sz w:val="24"/>
          <w:szCs w:val="24"/>
        </w:rPr>
        <w:t xml:space="preserve">respecto de la resolución dictada en el recurso de revisión </w:t>
      </w:r>
      <w:r>
        <w:rPr>
          <w:rFonts w:ascii="Palatino Linotype" w:hAnsi="Palatino Linotype" w:cs="Arial"/>
          <w:b/>
          <w:bCs/>
          <w:sz w:val="24"/>
          <w:szCs w:val="24"/>
        </w:rPr>
        <w:t>03545/INFOEM/IP/RR/2018</w:t>
      </w:r>
      <w:r w:rsidRPr="009F71D8">
        <w:rPr>
          <w:rFonts w:ascii="Palatino Linotype" w:hAnsi="Palatino Linotype" w:cs="Arial"/>
          <w:sz w:val="24"/>
          <w:szCs w:val="24"/>
        </w:rPr>
        <w:t xml:space="preserve">, pronunciada por el Pleno de este Instituto ante </w:t>
      </w:r>
      <w:proofErr w:type="gramStart"/>
      <w:r w:rsidRPr="009F71D8">
        <w:rPr>
          <w:rFonts w:ascii="Palatino Linotype" w:hAnsi="Palatino Linotype" w:cs="Arial"/>
          <w:sz w:val="24"/>
          <w:szCs w:val="24"/>
        </w:rPr>
        <w:t>el</w:t>
      </w:r>
      <w:proofErr w:type="gramEnd"/>
      <w:r w:rsidRPr="009F71D8">
        <w:rPr>
          <w:rFonts w:ascii="Palatino Linotype" w:hAnsi="Palatino Linotype" w:cs="Arial"/>
          <w:sz w:val="24"/>
          <w:szCs w:val="24"/>
        </w:rPr>
        <w:t xml:space="preserve">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14:paraId="4AFF27B4" w14:textId="77777777" w:rsidR="007607D5" w:rsidRPr="009F71D8" w:rsidRDefault="00A3041A" w:rsidP="007607D5">
      <w:pPr>
        <w:spacing w:before="100" w:beforeAutospacing="1" w:after="100" w:afterAutospacing="1" w:line="360" w:lineRule="auto"/>
        <w:ind w:right="49"/>
        <w:jc w:val="both"/>
        <w:rPr>
          <w:rFonts w:ascii="Palatino Linotype" w:hAnsi="Palatino Linotype"/>
          <w:sz w:val="24"/>
          <w:szCs w:val="24"/>
        </w:rPr>
      </w:pPr>
      <w:r>
        <w:rPr>
          <w:rFonts w:ascii="Palatino Linotype" w:hAnsi="Palatino Linotype"/>
          <w:sz w:val="24"/>
          <w:szCs w:val="24"/>
        </w:rPr>
        <w:t>Es de destacar, que los suscritos compartimos</w:t>
      </w:r>
      <w:r w:rsidR="007607D5" w:rsidRPr="009F71D8">
        <w:rPr>
          <w:rFonts w:ascii="Palatino Linotype" w:hAnsi="Palatino Linotype"/>
          <w:sz w:val="24"/>
          <w:szCs w:val="24"/>
        </w:rPr>
        <w:t xml:space="preserve"> esencialmente el estudio realizado en la resolución del recurso de revisión; empero</w:t>
      </w:r>
      <w:r>
        <w:rPr>
          <w:rFonts w:ascii="Palatino Linotype" w:hAnsi="Palatino Linotype"/>
          <w:sz w:val="24"/>
          <w:szCs w:val="24"/>
        </w:rPr>
        <w:t>, estimamos</w:t>
      </w:r>
      <w:r w:rsidR="007607D5" w:rsidRPr="009F71D8">
        <w:rPr>
          <w:rFonts w:ascii="Palatino Linotype" w:hAnsi="Palatino Linotype"/>
          <w:sz w:val="24"/>
          <w:szCs w:val="24"/>
        </w:rPr>
        <w:t xml:space="preserve"> necesario precisar algunas consideraciones de hecho y de derecho, tocante a parte del estudio y de lo ordenado en la resolución de mérito.</w:t>
      </w:r>
    </w:p>
    <w:p w14:paraId="39A313BC" w14:textId="77777777" w:rsidR="007607D5" w:rsidRDefault="007607D5" w:rsidP="007607D5">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lastRenderedPageBreak/>
        <w:t>Al respecto, tal y como quedó debidamente asentado en la resolución materia del presente voto, el particular requirió del</w:t>
      </w:r>
      <w:r>
        <w:rPr>
          <w:rFonts w:ascii="Palatino Linotype" w:hAnsi="Palatino Linotype"/>
          <w:sz w:val="24"/>
          <w:szCs w:val="24"/>
        </w:rPr>
        <w:t xml:space="preserve"> </w:t>
      </w:r>
      <w:r w:rsidRPr="007607D5">
        <w:rPr>
          <w:rFonts w:ascii="Palatino Linotype" w:hAnsi="Palatino Linotype"/>
          <w:b/>
          <w:sz w:val="24"/>
          <w:szCs w:val="24"/>
        </w:rPr>
        <w:t>Ayuntamiento de Valle de Chalco Solidaridad</w:t>
      </w:r>
      <w:r>
        <w:rPr>
          <w:rFonts w:ascii="Palatino Linotype" w:hAnsi="Palatino Linotype"/>
          <w:sz w:val="24"/>
          <w:szCs w:val="24"/>
        </w:rPr>
        <w:t xml:space="preserve">, en lo sucesivo </w:t>
      </w:r>
      <w:r>
        <w:rPr>
          <w:rFonts w:ascii="Palatino Linotype" w:hAnsi="Palatino Linotype"/>
          <w:b/>
          <w:sz w:val="24"/>
          <w:szCs w:val="24"/>
        </w:rPr>
        <w:t>EL S</w:t>
      </w:r>
      <w:r w:rsidRPr="009F71D8">
        <w:rPr>
          <w:rFonts w:ascii="Palatino Linotype" w:hAnsi="Palatino Linotype"/>
          <w:b/>
          <w:sz w:val="24"/>
          <w:szCs w:val="24"/>
        </w:rPr>
        <w:t>UJETO OBLIGADO,</w:t>
      </w:r>
      <w:r w:rsidRPr="009F71D8">
        <w:rPr>
          <w:rFonts w:ascii="Palatino Linotype" w:hAnsi="Palatino Linotype"/>
          <w:sz w:val="24"/>
          <w:szCs w:val="24"/>
        </w:rPr>
        <w:t xml:space="preserve"> </w:t>
      </w:r>
      <w:r>
        <w:rPr>
          <w:rFonts w:ascii="Palatino Linotype" w:hAnsi="Palatino Linotype"/>
          <w:sz w:val="24"/>
          <w:szCs w:val="24"/>
        </w:rPr>
        <w:t xml:space="preserve">por segunda ocasión las pólizas de cheque de los finiquitos por las renuncias de los servidores públicos durante </w:t>
      </w:r>
      <w:r w:rsidR="00A3041A">
        <w:rPr>
          <w:rFonts w:ascii="Palatino Linotype" w:hAnsi="Palatino Linotype"/>
          <w:sz w:val="24"/>
          <w:szCs w:val="24"/>
        </w:rPr>
        <w:t xml:space="preserve">los periodos comprendidos en </w:t>
      </w:r>
      <w:r>
        <w:rPr>
          <w:rFonts w:ascii="Palatino Linotype" w:hAnsi="Palatino Linotype"/>
          <w:sz w:val="24"/>
          <w:szCs w:val="24"/>
        </w:rPr>
        <w:t>noviembre y diciembre de 2017 y de enero a marzo de 2018</w:t>
      </w:r>
      <w:r w:rsidR="00A3041A">
        <w:rPr>
          <w:rFonts w:ascii="Palatino Linotype" w:hAnsi="Palatino Linotype"/>
          <w:sz w:val="24"/>
          <w:szCs w:val="24"/>
        </w:rPr>
        <w:t>.</w:t>
      </w:r>
    </w:p>
    <w:p w14:paraId="4038E9FD" w14:textId="77777777" w:rsidR="00A3041A" w:rsidRPr="00A0439C" w:rsidRDefault="00A3041A" w:rsidP="007607D5">
      <w:pPr>
        <w:spacing w:before="100" w:beforeAutospacing="1" w:after="100" w:afterAutospacing="1" w:line="360" w:lineRule="auto"/>
        <w:jc w:val="both"/>
        <w:rPr>
          <w:rFonts w:ascii="Palatino Linotype" w:hAnsi="Palatino Linotype" w:cs="Arial"/>
          <w:sz w:val="24"/>
          <w:szCs w:val="24"/>
        </w:rPr>
      </w:pPr>
      <w:r w:rsidRPr="00A0439C">
        <w:rPr>
          <w:rFonts w:ascii="Palatino Linotype" w:hAnsi="Palatino Linotype" w:cs="Arial"/>
          <w:sz w:val="24"/>
          <w:szCs w:val="24"/>
        </w:rPr>
        <w:t xml:space="preserve">De las constancias que obran en el expediente electrónico del SAIMEX, se advierte que </w:t>
      </w:r>
      <w:r w:rsidRPr="00A0439C">
        <w:rPr>
          <w:rFonts w:ascii="Palatino Linotype" w:hAnsi="Palatino Linotype" w:cs="Arial"/>
          <w:b/>
          <w:sz w:val="24"/>
          <w:szCs w:val="24"/>
        </w:rPr>
        <w:t>EL SUJETO OBLIGADO</w:t>
      </w:r>
      <w:r w:rsidRPr="00A0439C">
        <w:rPr>
          <w:rFonts w:ascii="Palatino Linotype" w:hAnsi="Palatino Linotype" w:cs="Arial"/>
          <w:sz w:val="24"/>
          <w:szCs w:val="24"/>
        </w:rPr>
        <w:t xml:space="preserve"> en respuesta a la solicitud de información que le fuera planteada manifestó que después de haber realizado un análisis a la misma se trataba de información que ya había sido solicitada en </w:t>
      </w:r>
      <w:r w:rsidR="00F058EE" w:rsidRPr="00A0439C">
        <w:rPr>
          <w:rFonts w:ascii="Palatino Linotype" w:hAnsi="Palatino Linotype" w:cs="Arial"/>
          <w:sz w:val="24"/>
          <w:szCs w:val="24"/>
        </w:rPr>
        <w:t>un recurso</w:t>
      </w:r>
      <w:r w:rsidRPr="00A0439C">
        <w:rPr>
          <w:rFonts w:ascii="Palatino Linotype" w:hAnsi="Palatino Linotype" w:cs="Arial"/>
          <w:sz w:val="24"/>
          <w:szCs w:val="24"/>
        </w:rPr>
        <w:t xml:space="preserve"> de revisión por lo cual el presentar una nueva solicitud no es el medio idóneo para </w:t>
      </w:r>
      <w:r w:rsidR="00F058EE" w:rsidRPr="00A0439C">
        <w:rPr>
          <w:rFonts w:ascii="Palatino Linotype" w:hAnsi="Palatino Linotype" w:cs="Arial"/>
          <w:sz w:val="24"/>
          <w:szCs w:val="24"/>
        </w:rPr>
        <w:t>requerir el cumplimiento de una resolución emitida en su momento, agregando que la información solicitada está siendo procesada para el Titular de Unidad de Transparencia y por el Director de Administración, a fin de que se realice la correspondiente versión pública.</w:t>
      </w:r>
    </w:p>
    <w:p w14:paraId="62756ED1" w14:textId="77777777" w:rsidR="00127BBA" w:rsidRPr="00A0439C" w:rsidRDefault="00127BBA" w:rsidP="00127BBA">
      <w:pPr>
        <w:spacing w:before="240" w:after="240" w:line="360" w:lineRule="auto"/>
        <w:jc w:val="both"/>
        <w:rPr>
          <w:rFonts w:ascii="Palatino Linotype" w:hAnsi="Palatino Linotype" w:cs="Arial"/>
          <w:sz w:val="24"/>
          <w:szCs w:val="24"/>
        </w:rPr>
      </w:pPr>
      <w:r w:rsidRPr="00A0439C">
        <w:rPr>
          <w:rFonts w:ascii="Palatino Linotype" w:hAnsi="Palatino Linotype" w:cs="Arial"/>
          <w:sz w:val="24"/>
          <w:szCs w:val="24"/>
        </w:rPr>
        <w:t xml:space="preserve">Inconforme con la respuesta, </w:t>
      </w:r>
      <w:r w:rsidRPr="00A0439C">
        <w:rPr>
          <w:rFonts w:ascii="Palatino Linotype" w:hAnsi="Palatino Linotype" w:cs="Arial"/>
          <w:b/>
          <w:sz w:val="24"/>
          <w:szCs w:val="24"/>
        </w:rPr>
        <w:t xml:space="preserve">EL RECURRENTE </w:t>
      </w:r>
      <w:r w:rsidRPr="00A0439C">
        <w:rPr>
          <w:rFonts w:ascii="Palatino Linotype" w:hAnsi="Palatino Linotype" w:cs="Arial"/>
          <w:sz w:val="24"/>
          <w:szCs w:val="24"/>
        </w:rPr>
        <w:t>interpuso el recurso de revisión de mérito.</w:t>
      </w:r>
    </w:p>
    <w:p w14:paraId="4E2934F2" w14:textId="77777777" w:rsidR="007607D5" w:rsidRDefault="007607D5" w:rsidP="007607D5">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expediente generado con motivo del recurso de revisión señalado al rubro, la Ponencia Resolutora determinó </w:t>
      </w:r>
      <w:r w:rsidRPr="009F71D8">
        <w:rPr>
          <w:rFonts w:ascii="Palatino Linotype" w:hAnsi="Palatino Linotype" w:cs="Arial"/>
          <w:b/>
          <w:sz w:val="24"/>
          <w:szCs w:val="24"/>
        </w:rPr>
        <w:t xml:space="preserve">REVOCAR </w:t>
      </w:r>
      <w:r w:rsidRPr="009F71D8">
        <w:rPr>
          <w:rFonts w:ascii="Palatino Linotype" w:hAnsi="Palatino Linotype" w:cs="Arial"/>
          <w:sz w:val="24"/>
          <w:szCs w:val="24"/>
        </w:rPr>
        <w:t xml:space="preserve">la respuesta del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y ordenarle la entrega de la información solicitada</w:t>
      </w:r>
      <w:r>
        <w:rPr>
          <w:rFonts w:ascii="Palatino Linotype" w:hAnsi="Palatino Linotype" w:cs="Arial"/>
          <w:sz w:val="24"/>
          <w:szCs w:val="24"/>
        </w:rPr>
        <w:t>.</w:t>
      </w:r>
    </w:p>
    <w:p w14:paraId="1DE10CC5" w14:textId="77777777" w:rsidR="007607D5" w:rsidRDefault="007607D5" w:rsidP="007607D5">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E</w:t>
      </w:r>
      <w:r w:rsidR="00127BBA">
        <w:rPr>
          <w:rFonts w:ascii="Palatino Linotype" w:hAnsi="Palatino Linotype" w:cs="Arial"/>
          <w:sz w:val="24"/>
          <w:szCs w:val="24"/>
        </w:rPr>
        <w:t xml:space="preserve">n ese sentido, los </w:t>
      </w:r>
      <w:r w:rsidRPr="009F71D8">
        <w:rPr>
          <w:rFonts w:ascii="Palatino Linotype" w:hAnsi="Palatino Linotype" w:cs="Arial"/>
          <w:sz w:val="24"/>
          <w:szCs w:val="24"/>
        </w:rPr>
        <w:t>que suscribe</w:t>
      </w:r>
      <w:r w:rsidR="00127BBA">
        <w:rPr>
          <w:rFonts w:ascii="Palatino Linotype" w:hAnsi="Palatino Linotype" w:cs="Arial"/>
          <w:sz w:val="24"/>
          <w:szCs w:val="24"/>
        </w:rPr>
        <w:t>n</w:t>
      </w:r>
      <w:r w:rsidRPr="009F71D8">
        <w:rPr>
          <w:rFonts w:ascii="Palatino Linotype" w:hAnsi="Palatino Linotype" w:cs="Arial"/>
          <w:sz w:val="24"/>
          <w:szCs w:val="24"/>
        </w:rPr>
        <w:t xml:space="preserve"> reitera</w:t>
      </w:r>
      <w:r w:rsidR="00127BBA">
        <w:rPr>
          <w:rFonts w:ascii="Palatino Linotype" w:hAnsi="Palatino Linotype" w:cs="Arial"/>
          <w:sz w:val="24"/>
          <w:szCs w:val="24"/>
        </w:rPr>
        <w:t>n</w:t>
      </w:r>
      <w:r w:rsidRPr="009F71D8">
        <w:rPr>
          <w:rFonts w:ascii="Palatino Linotype" w:hAnsi="Palatino Linotype" w:cs="Arial"/>
          <w:sz w:val="24"/>
          <w:szCs w:val="24"/>
        </w:rPr>
        <w:t>, que si bien coincide</w:t>
      </w:r>
      <w:r w:rsidR="002A2F3B">
        <w:rPr>
          <w:rFonts w:ascii="Palatino Linotype" w:hAnsi="Palatino Linotype" w:cs="Arial"/>
          <w:sz w:val="24"/>
          <w:szCs w:val="24"/>
        </w:rPr>
        <w:t>n</w:t>
      </w:r>
      <w:r w:rsidRPr="009F71D8">
        <w:rPr>
          <w:rFonts w:ascii="Palatino Linotype" w:hAnsi="Palatino Linotype" w:cs="Arial"/>
          <w:sz w:val="24"/>
          <w:szCs w:val="24"/>
        </w:rPr>
        <w:t xml:space="preserve"> en términos generales con el estudio de </w:t>
      </w:r>
      <w:r w:rsidR="0077317B">
        <w:rPr>
          <w:rFonts w:ascii="Palatino Linotype" w:hAnsi="Palatino Linotype" w:cs="Arial"/>
          <w:sz w:val="24"/>
          <w:szCs w:val="24"/>
        </w:rPr>
        <w:t xml:space="preserve">la resolución en comento, estimamos necesario señalar que </w:t>
      </w:r>
      <w:r w:rsidRPr="009F71D8">
        <w:rPr>
          <w:rFonts w:ascii="Palatino Linotype" w:hAnsi="Palatino Linotype" w:cs="Arial"/>
          <w:sz w:val="24"/>
          <w:szCs w:val="24"/>
        </w:rPr>
        <w:t xml:space="preserve">la </w:t>
      </w:r>
      <w:r w:rsidRPr="009F71D8">
        <w:rPr>
          <w:rFonts w:ascii="Palatino Linotype" w:hAnsi="Palatino Linotype" w:cs="Arial"/>
          <w:sz w:val="24"/>
          <w:szCs w:val="24"/>
        </w:rPr>
        <w:lastRenderedPageBreak/>
        <w:t xml:space="preserve">Ponencia Resolutora debió considerar precisar en resolutivos que se debía estar a lo resuelto en </w:t>
      </w:r>
      <w:r>
        <w:rPr>
          <w:rFonts w:ascii="Palatino Linotype" w:hAnsi="Palatino Linotype" w:cs="Arial"/>
          <w:sz w:val="24"/>
          <w:szCs w:val="24"/>
        </w:rPr>
        <w:t>los</w:t>
      </w:r>
      <w:r w:rsidRPr="009F71D8">
        <w:rPr>
          <w:rFonts w:ascii="Palatino Linotype" w:hAnsi="Palatino Linotype" w:cs="Arial"/>
          <w:sz w:val="24"/>
          <w:szCs w:val="24"/>
        </w:rPr>
        <w:t xml:space="preserve"> recurso</w:t>
      </w:r>
      <w:r>
        <w:rPr>
          <w:rFonts w:ascii="Palatino Linotype" w:hAnsi="Palatino Linotype" w:cs="Arial"/>
          <w:sz w:val="24"/>
          <w:szCs w:val="24"/>
        </w:rPr>
        <w:t xml:space="preserve">s </w:t>
      </w:r>
      <w:r w:rsidRPr="009F71D8">
        <w:rPr>
          <w:rFonts w:ascii="Palatino Linotype" w:hAnsi="Palatino Linotype" w:cs="Arial"/>
          <w:sz w:val="24"/>
          <w:szCs w:val="24"/>
        </w:rPr>
        <w:t xml:space="preserve">de revisión </w:t>
      </w:r>
      <w:r w:rsidR="0077317B">
        <w:rPr>
          <w:rFonts w:ascii="Palatino Linotype" w:hAnsi="Palatino Linotype" w:cs="Arial"/>
          <w:sz w:val="24"/>
          <w:szCs w:val="24"/>
        </w:rPr>
        <w:t xml:space="preserve">01091/INFOEM/IP/RR/2018 y </w:t>
      </w:r>
      <w:r w:rsidR="0077317B" w:rsidRPr="0077317B">
        <w:rPr>
          <w:rFonts w:ascii="Palatino Linotype" w:hAnsi="Palatino Linotype" w:cs="Arial"/>
          <w:sz w:val="24"/>
          <w:szCs w:val="24"/>
        </w:rPr>
        <w:t>0109</w:t>
      </w:r>
      <w:r w:rsidR="0077317B">
        <w:rPr>
          <w:rFonts w:ascii="Palatino Linotype" w:hAnsi="Palatino Linotype" w:cs="Arial"/>
          <w:sz w:val="24"/>
          <w:szCs w:val="24"/>
        </w:rPr>
        <w:t>2</w:t>
      </w:r>
      <w:r w:rsidR="0077317B" w:rsidRPr="0077317B">
        <w:rPr>
          <w:rFonts w:ascii="Palatino Linotype" w:hAnsi="Palatino Linotype" w:cs="Arial"/>
          <w:sz w:val="24"/>
          <w:szCs w:val="24"/>
        </w:rPr>
        <w:t>/INFOEM/IP/RR/2018</w:t>
      </w:r>
      <w:r w:rsidR="0077317B">
        <w:rPr>
          <w:rFonts w:ascii="Palatino Linotype" w:hAnsi="Palatino Linotype" w:cs="Arial"/>
          <w:sz w:val="24"/>
          <w:szCs w:val="24"/>
        </w:rPr>
        <w:t xml:space="preserve">. </w:t>
      </w:r>
      <w:r w:rsidRPr="009F71D8">
        <w:rPr>
          <w:rFonts w:ascii="Palatino Linotype" w:hAnsi="Palatino Linotype" w:cs="Arial"/>
          <w:sz w:val="24"/>
          <w:szCs w:val="24"/>
        </w:rPr>
        <w:t>Lo anterior obedece a que, tal como lo señaló la propia Ponencia Resolutora en su estudio la solicitud de información que dio origen al recurso materia del presente voto presenta similitud co</w:t>
      </w:r>
      <w:r w:rsidR="0077317B">
        <w:rPr>
          <w:rFonts w:ascii="Palatino Linotype" w:hAnsi="Palatino Linotype" w:cs="Arial"/>
          <w:sz w:val="24"/>
          <w:szCs w:val="24"/>
        </w:rPr>
        <w:t xml:space="preserve">n dos anteriormente presentadas, </w:t>
      </w:r>
      <w:r>
        <w:rPr>
          <w:rFonts w:ascii="Palatino Linotype" w:hAnsi="Palatino Linotype" w:cs="Arial"/>
          <w:sz w:val="24"/>
          <w:szCs w:val="24"/>
        </w:rPr>
        <w:t>concluye</w:t>
      </w:r>
      <w:r w:rsidR="0077317B">
        <w:rPr>
          <w:rFonts w:ascii="Palatino Linotype" w:hAnsi="Palatino Linotype" w:cs="Arial"/>
          <w:sz w:val="24"/>
          <w:szCs w:val="24"/>
        </w:rPr>
        <w:t xml:space="preserve">ndo </w:t>
      </w:r>
      <w:r>
        <w:rPr>
          <w:rFonts w:ascii="Palatino Linotype" w:hAnsi="Palatino Linotype" w:cs="Arial"/>
          <w:sz w:val="24"/>
          <w:szCs w:val="24"/>
        </w:rPr>
        <w:t xml:space="preserve">su análisis </w:t>
      </w:r>
      <w:r w:rsidR="0077317B">
        <w:rPr>
          <w:rFonts w:ascii="Palatino Linotype" w:hAnsi="Palatino Linotype" w:cs="Arial"/>
          <w:sz w:val="24"/>
          <w:szCs w:val="24"/>
        </w:rPr>
        <w:t>refiriendo en el</w:t>
      </w:r>
      <w:r>
        <w:rPr>
          <w:rFonts w:ascii="Palatino Linotype" w:hAnsi="Palatino Linotype" w:cs="Arial"/>
          <w:sz w:val="24"/>
          <w:szCs w:val="24"/>
        </w:rPr>
        <w:t xml:space="preserve"> estudio de la resolución que debido a la </w:t>
      </w:r>
      <w:r w:rsidR="0077317B">
        <w:rPr>
          <w:rFonts w:ascii="Palatino Linotype" w:hAnsi="Palatino Linotype" w:cs="Arial"/>
          <w:sz w:val="24"/>
          <w:szCs w:val="24"/>
        </w:rPr>
        <w:t xml:space="preserve">identidad de partes </w:t>
      </w:r>
      <w:r>
        <w:rPr>
          <w:rFonts w:ascii="Palatino Linotype" w:hAnsi="Palatino Linotype" w:cs="Arial"/>
          <w:sz w:val="24"/>
          <w:szCs w:val="24"/>
        </w:rPr>
        <w:t xml:space="preserve">y de requerimientos planteados al ya haber sido solicitados al </w:t>
      </w:r>
      <w:r>
        <w:rPr>
          <w:rFonts w:ascii="Palatino Linotype" w:hAnsi="Palatino Linotype" w:cs="Arial"/>
          <w:b/>
          <w:sz w:val="24"/>
          <w:szCs w:val="24"/>
        </w:rPr>
        <w:t xml:space="preserve">SUJETO OBLIGADO </w:t>
      </w:r>
      <w:r>
        <w:rPr>
          <w:rFonts w:ascii="Palatino Linotype" w:hAnsi="Palatino Linotype" w:cs="Arial"/>
          <w:sz w:val="24"/>
          <w:szCs w:val="24"/>
        </w:rPr>
        <w:t>y resueltos por este Órgano Garante a través de los recursos de revisión referidos, ambos constituían un precedente para el asunto que nos ocupa, por lo que, resultaría ocioso entrar al estudio de los requerimientos planteados nuevamente por el particular en la solicitud que dio origen al recurso de revisión materia del presente voto.</w:t>
      </w:r>
    </w:p>
    <w:p w14:paraId="5DB3A7C6" w14:textId="77777777" w:rsidR="007607D5" w:rsidRPr="004F2F57" w:rsidRDefault="007607D5" w:rsidP="007607D5">
      <w:pPr>
        <w:spacing w:before="100" w:beforeAutospacing="1" w:after="100" w:afterAutospacing="1" w:line="360" w:lineRule="auto"/>
        <w:jc w:val="both"/>
        <w:rPr>
          <w:rFonts w:ascii="Palatino Linotype" w:hAnsi="Palatino Linotype" w:cs="Arial"/>
          <w:sz w:val="24"/>
          <w:szCs w:val="24"/>
        </w:rPr>
      </w:pPr>
      <w:r w:rsidRPr="004F2F57">
        <w:rPr>
          <w:rFonts w:ascii="Palatino Linotype" w:hAnsi="Palatino Linotype"/>
          <w:sz w:val="24"/>
          <w:szCs w:val="24"/>
        </w:rPr>
        <w:t xml:space="preserve">Atento a dicha consideración, se advierte que </w:t>
      </w:r>
      <w:r w:rsidR="00B32BFE">
        <w:rPr>
          <w:rFonts w:ascii="Palatino Linotype" w:hAnsi="Palatino Linotype"/>
          <w:sz w:val="24"/>
          <w:szCs w:val="24"/>
        </w:rPr>
        <w:t xml:space="preserve">en el presente recurso de revisión se </w:t>
      </w:r>
      <w:r w:rsidRPr="004F2F57">
        <w:rPr>
          <w:rFonts w:ascii="Palatino Linotype" w:hAnsi="Palatino Linotype" w:cs="Arial"/>
          <w:sz w:val="24"/>
          <w:szCs w:val="24"/>
        </w:rPr>
        <w:t>actualiza las hipótesis jurídica</w:t>
      </w:r>
      <w:r w:rsidR="00B32BFE">
        <w:rPr>
          <w:rFonts w:ascii="Palatino Linotype" w:hAnsi="Palatino Linotype" w:cs="Arial"/>
          <w:sz w:val="24"/>
          <w:szCs w:val="24"/>
        </w:rPr>
        <w:t>, prevista</w:t>
      </w:r>
      <w:r w:rsidRPr="004F2F57">
        <w:rPr>
          <w:rFonts w:ascii="Palatino Linotype" w:hAnsi="Palatino Linotype" w:cs="Arial"/>
          <w:sz w:val="24"/>
          <w:szCs w:val="24"/>
        </w:rPr>
        <w:t xml:space="preserve"> en el artículo 196 fracción I del Código de Procedimientos Administrativos del Estado de México, de aplicación supletoria, en términos del artículo 195 de la Ley de Transparencia y Acceso a la Información Pública del Estado de México y Municipios, los cuales se insertan a continuación:</w:t>
      </w:r>
    </w:p>
    <w:p w14:paraId="50383856" w14:textId="77777777" w:rsidR="002E3B35" w:rsidRDefault="002E3B35" w:rsidP="00B32BFE">
      <w:pPr>
        <w:spacing w:after="0" w:line="240" w:lineRule="auto"/>
        <w:ind w:left="851" w:right="902"/>
        <w:jc w:val="center"/>
        <w:rPr>
          <w:rFonts w:ascii="Palatino Linotype" w:hAnsi="Palatino Linotype" w:cs="Arial"/>
          <w:b/>
          <w:i/>
        </w:rPr>
      </w:pPr>
    </w:p>
    <w:p w14:paraId="17D61A2E" w14:textId="77777777" w:rsidR="007607D5" w:rsidRPr="0073286C" w:rsidRDefault="007607D5" w:rsidP="00B32BFE">
      <w:pPr>
        <w:spacing w:after="0" w:line="240" w:lineRule="auto"/>
        <w:ind w:left="851" w:right="902"/>
        <w:jc w:val="center"/>
        <w:rPr>
          <w:rFonts w:ascii="Palatino Linotype" w:hAnsi="Palatino Linotype" w:cs="Arial"/>
          <w:b/>
          <w:i/>
        </w:rPr>
      </w:pPr>
      <w:r w:rsidRPr="0073286C">
        <w:rPr>
          <w:rFonts w:ascii="Palatino Linotype" w:hAnsi="Palatino Linotype" w:cs="Arial"/>
          <w:b/>
          <w:i/>
        </w:rPr>
        <w:t>Ley de Transparencia y Acceso a la Información Pública del Estado de México y Municipios</w:t>
      </w:r>
    </w:p>
    <w:p w14:paraId="0BB70F83" w14:textId="77777777" w:rsidR="007607D5" w:rsidRPr="0073286C" w:rsidRDefault="007607D5" w:rsidP="00B32BFE">
      <w:pPr>
        <w:spacing w:after="0" w:line="240" w:lineRule="auto"/>
        <w:ind w:left="851" w:right="902"/>
        <w:jc w:val="center"/>
        <w:rPr>
          <w:rFonts w:ascii="Palatino Linotype" w:hAnsi="Palatino Linotype" w:cs="Arial"/>
          <w:b/>
          <w:i/>
        </w:rPr>
      </w:pPr>
    </w:p>
    <w:p w14:paraId="08DABBEE" w14:textId="77777777" w:rsidR="007607D5" w:rsidRDefault="007607D5" w:rsidP="00B32BFE">
      <w:pPr>
        <w:spacing w:after="0" w:line="240" w:lineRule="auto"/>
        <w:ind w:left="851" w:right="902"/>
        <w:jc w:val="both"/>
        <w:rPr>
          <w:rFonts w:ascii="Palatino Linotype" w:hAnsi="Palatino Linotype" w:cs="Arial"/>
          <w:i/>
        </w:rPr>
      </w:pPr>
      <w:r w:rsidRPr="0073286C">
        <w:rPr>
          <w:rFonts w:ascii="Palatino Linotype" w:hAnsi="Palatino Linotype" w:cs="Arial"/>
          <w:b/>
          <w:i/>
        </w:rPr>
        <w:t>Artículo 195</w:t>
      </w:r>
      <w:r w:rsidRPr="0073286C">
        <w:rPr>
          <w:rFonts w:ascii="Palatino Linotype" w:hAnsi="Palatino Linotype" w:cs="Arial"/>
          <w:i/>
        </w:rPr>
        <w:t xml:space="preserve">. </w:t>
      </w:r>
      <w:r w:rsidRPr="002E3B35">
        <w:rPr>
          <w:rFonts w:ascii="Palatino Linotype" w:hAnsi="Palatino Linotype" w:cs="Arial"/>
          <w:i/>
        </w:rPr>
        <w:t xml:space="preserve">En la tramitación del recurso de revisión </w:t>
      </w:r>
      <w:r w:rsidRPr="002E3B35">
        <w:rPr>
          <w:rFonts w:ascii="Palatino Linotype" w:hAnsi="Palatino Linotype" w:cs="Arial"/>
          <w:b/>
          <w:i/>
        </w:rPr>
        <w:t>se aplicarán supletoriamente las disposiciones contenidas en el Código de Procedimientos Administrativos</w:t>
      </w:r>
      <w:r w:rsidRPr="002E3B35">
        <w:rPr>
          <w:rFonts w:ascii="Palatino Linotype" w:hAnsi="Palatino Linotype" w:cs="Arial"/>
          <w:i/>
        </w:rPr>
        <w:t xml:space="preserve"> del Estado de México.</w:t>
      </w:r>
    </w:p>
    <w:p w14:paraId="4A685ACC" w14:textId="77777777" w:rsidR="002E3B35" w:rsidRPr="002E3B35" w:rsidRDefault="002E3B35" w:rsidP="00B32BFE">
      <w:pPr>
        <w:spacing w:after="0" w:line="240" w:lineRule="auto"/>
        <w:ind w:left="851" w:right="902"/>
        <w:jc w:val="both"/>
        <w:rPr>
          <w:rFonts w:ascii="Palatino Linotype" w:hAnsi="Palatino Linotype" w:cs="Arial"/>
          <w:i/>
        </w:rPr>
      </w:pPr>
    </w:p>
    <w:p w14:paraId="20702CF0" w14:textId="77777777" w:rsidR="007607D5" w:rsidRDefault="007607D5" w:rsidP="00B32BFE">
      <w:pPr>
        <w:spacing w:after="0" w:line="240" w:lineRule="auto"/>
        <w:ind w:left="851" w:right="902"/>
        <w:jc w:val="center"/>
        <w:rPr>
          <w:rFonts w:ascii="Palatino Linotype" w:hAnsi="Palatino Linotype" w:cs="Arial"/>
          <w:b/>
          <w:i/>
        </w:rPr>
      </w:pPr>
      <w:r w:rsidRPr="002E3B35">
        <w:rPr>
          <w:rFonts w:ascii="Palatino Linotype" w:hAnsi="Palatino Linotype" w:cs="Arial"/>
          <w:b/>
          <w:i/>
        </w:rPr>
        <w:lastRenderedPageBreak/>
        <w:t>Código de Procedimientos Administrativos del Estado de México</w:t>
      </w:r>
    </w:p>
    <w:p w14:paraId="0A78AB16" w14:textId="77777777" w:rsidR="002E3B35" w:rsidRPr="002E3B35" w:rsidRDefault="002E3B35" w:rsidP="00B32BFE">
      <w:pPr>
        <w:spacing w:after="0" w:line="240" w:lineRule="auto"/>
        <w:ind w:left="851" w:right="902"/>
        <w:jc w:val="center"/>
        <w:rPr>
          <w:rFonts w:ascii="Palatino Linotype" w:hAnsi="Palatino Linotype" w:cs="Arial"/>
          <w:b/>
          <w:i/>
        </w:rPr>
      </w:pPr>
    </w:p>
    <w:p w14:paraId="524831CC" w14:textId="77777777" w:rsidR="007607D5" w:rsidRPr="002E3B35" w:rsidRDefault="007607D5" w:rsidP="00B32BFE">
      <w:pPr>
        <w:spacing w:after="0" w:line="240" w:lineRule="auto"/>
        <w:ind w:left="851" w:right="902"/>
        <w:jc w:val="both"/>
        <w:rPr>
          <w:rFonts w:ascii="Palatino Linotype" w:hAnsi="Palatino Linotype" w:cs="Arial"/>
          <w:i/>
        </w:rPr>
      </w:pPr>
      <w:r w:rsidRPr="002E3B35">
        <w:rPr>
          <w:rFonts w:ascii="Palatino Linotype" w:hAnsi="Palatino Linotype" w:cs="Arial"/>
          <w:b/>
          <w:i/>
        </w:rPr>
        <w:t xml:space="preserve">Artículo 196.- </w:t>
      </w:r>
      <w:r w:rsidRPr="002E3B35">
        <w:rPr>
          <w:rFonts w:ascii="Palatino Linotype" w:hAnsi="Palatino Linotype" w:cs="Arial"/>
          <w:i/>
        </w:rPr>
        <w:t xml:space="preserve">Es </w:t>
      </w:r>
      <w:r w:rsidRPr="002E3B35">
        <w:rPr>
          <w:rFonts w:ascii="Palatino Linotype" w:hAnsi="Palatino Linotype" w:cs="Arial"/>
          <w:b/>
          <w:i/>
        </w:rPr>
        <w:t xml:space="preserve">improcedente </w:t>
      </w:r>
      <w:r w:rsidRPr="002E3B35">
        <w:rPr>
          <w:rFonts w:ascii="Palatino Linotype" w:hAnsi="Palatino Linotype" w:cs="Arial"/>
          <w:i/>
        </w:rPr>
        <w:t xml:space="preserve">el recurso: </w:t>
      </w:r>
    </w:p>
    <w:p w14:paraId="36AB51E7" w14:textId="77777777" w:rsidR="007607D5" w:rsidRPr="002E3B35" w:rsidRDefault="007607D5" w:rsidP="00B32BFE">
      <w:pPr>
        <w:spacing w:after="0" w:line="240" w:lineRule="auto"/>
        <w:ind w:left="851" w:right="902"/>
        <w:jc w:val="both"/>
        <w:rPr>
          <w:rFonts w:ascii="Palatino Linotype" w:hAnsi="Palatino Linotype" w:cs="Arial"/>
          <w:i/>
        </w:rPr>
      </w:pPr>
      <w:r w:rsidRPr="0073286C">
        <w:rPr>
          <w:rFonts w:ascii="Palatino Linotype" w:hAnsi="Palatino Linotype" w:cs="Arial"/>
          <w:b/>
          <w:i/>
        </w:rPr>
        <w:t xml:space="preserve">I. </w:t>
      </w:r>
      <w:r w:rsidRPr="002E3B35">
        <w:rPr>
          <w:rFonts w:ascii="Palatino Linotype" w:hAnsi="Palatino Linotype" w:cs="Arial"/>
          <w:i/>
        </w:rPr>
        <w:t xml:space="preserve">Contra </w:t>
      </w:r>
      <w:r w:rsidRPr="002E3B35">
        <w:rPr>
          <w:rFonts w:ascii="Palatino Linotype" w:hAnsi="Palatino Linotype" w:cs="Arial"/>
          <w:b/>
          <w:i/>
        </w:rPr>
        <w:t>actos que hayan sido impugnados en un anterior recurso administrativo</w:t>
      </w:r>
      <w:r w:rsidRPr="002E3B35">
        <w:rPr>
          <w:rFonts w:ascii="Palatino Linotype" w:hAnsi="Palatino Linotype" w:cs="Arial"/>
          <w:i/>
        </w:rPr>
        <w:t xml:space="preserve"> o en un proceso jurisdiccional, </w:t>
      </w:r>
      <w:r w:rsidRPr="002E3B35">
        <w:rPr>
          <w:rFonts w:ascii="Palatino Linotype" w:hAnsi="Palatino Linotype" w:cs="Arial"/>
          <w:b/>
          <w:i/>
        </w:rPr>
        <w:t>siempre que exista resolución ejecutoria que decida el asunto planteado</w:t>
      </w:r>
      <w:r w:rsidRPr="002E3B35">
        <w:rPr>
          <w:rFonts w:ascii="Palatino Linotype" w:hAnsi="Palatino Linotype" w:cs="Arial"/>
          <w:i/>
        </w:rPr>
        <w:t>;</w:t>
      </w:r>
    </w:p>
    <w:p w14:paraId="6571C8E2" w14:textId="77777777" w:rsidR="007607D5" w:rsidRPr="002E3B35" w:rsidRDefault="007607D5" w:rsidP="00B32BFE">
      <w:pPr>
        <w:spacing w:after="0" w:line="240" w:lineRule="auto"/>
        <w:ind w:left="851" w:right="902"/>
        <w:jc w:val="both"/>
        <w:rPr>
          <w:rFonts w:ascii="Palatino Linotype" w:hAnsi="Palatino Linotype" w:cs="Arial"/>
          <w:i/>
        </w:rPr>
      </w:pPr>
    </w:p>
    <w:p w14:paraId="59346842" w14:textId="77777777" w:rsidR="007607D5" w:rsidRPr="0073286C" w:rsidRDefault="007607D5" w:rsidP="00B32BFE">
      <w:pPr>
        <w:spacing w:after="0" w:line="240" w:lineRule="auto"/>
        <w:ind w:left="851" w:right="902"/>
        <w:jc w:val="both"/>
        <w:rPr>
          <w:rFonts w:ascii="Palatino Linotype" w:hAnsi="Palatino Linotype" w:cs="Arial"/>
        </w:rPr>
      </w:pPr>
      <w:r w:rsidRPr="0073286C">
        <w:rPr>
          <w:rFonts w:ascii="Palatino Linotype" w:hAnsi="Palatino Linotype" w:cs="Arial"/>
        </w:rPr>
        <w:t>(Énfasis añadido)</w:t>
      </w:r>
    </w:p>
    <w:p w14:paraId="4A9083DE" w14:textId="77777777" w:rsidR="007607D5" w:rsidRPr="00A0439C" w:rsidRDefault="007607D5" w:rsidP="007607D5">
      <w:pPr>
        <w:spacing w:before="100" w:beforeAutospacing="1" w:after="100" w:afterAutospacing="1" w:line="360" w:lineRule="auto"/>
        <w:jc w:val="both"/>
        <w:rPr>
          <w:rFonts w:ascii="Palatino Linotype" w:hAnsi="Palatino Linotype" w:cs="Arial"/>
          <w:sz w:val="24"/>
          <w:szCs w:val="24"/>
        </w:rPr>
      </w:pPr>
      <w:r w:rsidRPr="00A0439C">
        <w:rPr>
          <w:rFonts w:ascii="Palatino Linotype" w:hAnsi="Palatino Linotype" w:cs="Arial"/>
          <w:sz w:val="24"/>
          <w:szCs w:val="24"/>
        </w:rPr>
        <w:t>De dichos preceptos se desprende que, el medio de controversia será improcedente cuando los actos ya hayan sido impugnados por el mismo Recurrente, en otro medio de defensa en que ya se haya dictado resolución ejecutoria que decida el fondo del asunto.</w:t>
      </w:r>
    </w:p>
    <w:p w14:paraId="251FB7F6" w14:textId="77777777" w:rsidR="007607D5" w:rsidRPr="00A0439C" w:rsidRDefault="007607D5" w:rsidP="007607D5">
      <w:pPr>
        <w:spacing w:before="100" w:beforeAutospacing="1" w:after="100" w:afterAutospacing="1" w:line="360" w:lineRule="auto"/>
        <w:jc w:val="both"/>
        <w:rPr>
          <w:rFonts w:ascii="Palatino Linotype" w:hAnsi="Palatino Linotype" w:cs="Arial"/>
          <w:sz w:val="24"/>
          <w:szCs w:val="24"/>
        </w:rPr>
      </w:pPr>
      <w:r w:rsidRPr="00A0439C">
        <w:rPr>
          <w:rFonts w:ascii="Palatino Linotype" w:hAnsi="Palatino Linotype" w:cs="Arial"/>
          <w:sz w:val="24"/>
          <w:szCs w:val="24"/>
        </w:rPr>
        <w:t xml:space="preserve">Al respecto, conviene hacer mención por analogía y de manera ilustrativa de lo que señala el artículo 1.205 del </w:t>
      </w:r>
      <w:r w:rsidRPr="00A0439C">
        <w:rPr>
          <w:rFonts w:ascii="Palatino Linotype" w:hAnsi="Palatino Linotype"/>
          <w:sz w:val="24"/>
          <w:szCs w:val="24"/>
        </w:rPr>
        <w:t>Código</w:t>
      </w:r>
      <w:r w:rsidRPr="00A0439C">
        <w:rPr>
          <w:rFonts w:ascii="Palatino Linotype" w:hAnsi="Palatino Linotype" w:cs="Arial"/>
          <w:sz w:val="24"/>
          <w:szCs w:val="24"/>
        </w:rPr>
        <w:t xml:space="preserve"> de Procedimientos Civiles del Estado de México</w:t>
      </w:r>
      <w:r w:rsidR="00B32BFE" w:rsidRPr="00A0439C">
        <w:rPr>
          <w:rStyle w:val="Refdenotaalpie"/>
          <w:rFonts w:ascii="Palatino Linotype" w:hAnsi="Palatino Linotype" w:cs="Arial"/>
          <w:sz w:val="24"/>
          <w:szCs w:val="24"/>
        </w:rPr>
        <w:footnoteReference w:id="1"/>
      </w:r>
      <w:r w:rsidRPr="00A0439C">
        <w:rPr>
          <w:rFonts w:ascii="Palatino Linotype" w:hAnsi="Palatino Linotype" w:cs="Arial"/>
          <w:sz w:val="24"/>
          <w:szCs w:val="24"/>
        </w:rPr>
        <w:t>,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14:paraId="4CE129D0" w14:textId="77777777" w:rsidR="007607D5" w:rsidRPr="00A0439C" w:rsidRDefault="007607D5" w:rsidP="007607D5">
      <w:pPr>
        <w:spacing w:before="100" w:beforeAutospacing="1" w:after="100" w:afterAutospacing="1" w:line="360" w:lineRule="auto"/>
        <w:jc w:val="both"/>
        <w:rPr>
          <w:rFonts w:ascii="Palatino Linotype" w:hAnsi="Palatino Linotype"/>
          <w:sz w:val="24"/>
          <w:szCs w:val="24"/>
        </w:rPr>
      </w:pPr>
      <w:r w:rsidRPr="00A0439C">
        <w:rPr>
          <w:rFonts w:ascii="Palatino Linotype" w:hAnsi="Palatino Linotype" w:cs="Arial"/>
          <w:sz w:val="24"/>
          <w:szCs w:val="24"/>
        </w:rPr>
        <w:t xml:space="preserve">De lo anterior se hace </w:t>
      </w:r>
      <w:r w:rsidRPr="00A0439C">
        <w:rPr>
          <w:rFonts w:ascii="Palatino Linotype" w:hAnsi="Palatino Linotype"/>
          <w:sz w:val="24"/>
          <w:szCs w:val="24"/>
        </w:rPr>
        <w:t>necesario</w:t>
      </w:r>
      <w:r w:rsidRPr="00A0439C">
        <w:rPr>
          <w:rFonts w:ascii="Palatino Linotype" w:hAnsi="Palatino Linotype" w:cs="Arial"/>
          <w:sz w:val="24"/>
          <w:szCs w:val="24"/>
        </w:rPr>
        <w:t xml:space="preserve"> citar en su literal</w:t>
      </w:r>
      <w:r w:rsidR="00B32BFE" w:rsidRPr="00A0439C">
        <w:rPr>
          <w:rFonts w:ascii="Palatino Linotype" w:hAnsi="Palatino Linotype" w:cs="Arial"/>
          <w:sz w:val="24"/>
          <w:szCs w:val="24"/>
        </w:rPr>
        <w:t>idad</w:t>
      </w:r>
      <w:r w:rsidRPr="00A0439C">
        <w:rPr>
          <w:rFonts w:ascii="Palatino Linotype" w:hAnsi="Palatino Linotype"/>
          <w:sz w:val="24"/>
          <w:szCs w:val="24"/>
        </w:rPr>
        <w:t xml:space="preserve"> el contenido de los artículos 1.206, 1.207 y 1.208 del Código de Procedimientos Civiles del Estado de México: </w:t>
      </w:r>
    </w:p>
    <w:p w14:paraId="750DFB68" w14:textId="77777777" w:rsidR="007607D5" w:rsidRDefault="007607D5" w:rsidP="00B32BFE">
      <w:pPr>
        <w:spacing w:after="0" w:line="240" w:lineRule="auto"/>
        <w:ind w:left="851" w:right="902"/>
        <w:jc w:val="both"/>
        <w:rPr>
          <w:rFonts w:ascii="Palatino Linotype" w:hAnsi="Palatino Linotype"/>
          <w:b/>
          <w:i/>
        </w:rPr>
      </w:pPr>
      <w:r w:rsidRPr="0073286C">
        <w:rPr>
          <w:rFonts w:ascii="Palatino Linotype" w:hAnsi="Palatino Linotype"/>
          <w:b/>
          <w:i/>
        </w:rPr>
        <w:t>“</w:t>
      </w:r>
      <w:proofErr w:type="spellStart"/>
      <w:r w:rsidRPr="0073286C">
        <w:rPr>
          <w:rFonts w:ascii="Palatino Linotype" w:hAnsi="Palatino Linotype"/>
          <w:b/>
          <w:i/>
        </w:rPr>
        <w:t>Indiscutibilidad</w:t>
      </w:r>
      <w:proofErr w:type="spellEnd"/>
      <w:r w:rsidRPr="0073286C">
        <w:rPr>
          <w:rFonts w:ascii="Palatino Linotype" w:hAnsi="Palatino Linotype"/>
          <w:b/>
          <w:i/>
        </w:rPr>
        <w:t xml:space="preserve"> de la cosa juzgada</w:t>
      </w:r>
    </w:p>
    <w:p w14:paraId="3472C5BC" w14:textId="77777777" w:rsidR="007607D5" w:rsidRPr="002E3B35" w:rsidRDefault="007607D5" w:rsidP="00B32BFE">
      <w:pPr>
        <w:spacing w:after="0" w:line="240" w:lineRule="auto"/>
        <w:ind w:left="851" w:right="902"/>
        <w:jc w:val="both"/>
        <w:rPr>
          <w:rFonts w:ascii="Palatino Linotype" w:hAnsi="Palatino Linotype"/>
          <w:i/>
        </w:rPr>
      </w:pPr>
      <w:r w:rsidRPr="002E3B35">
        <w:rPr>
          <w:rFonts w:ascii="Palatino Linotype" w:hAnsi="Palatino Linotype"/>
          <w:b/>
          <w:i/>
        </w:rPr>
        <w:lastRenderedPageBreak/>
        <w:t>Artículo 1.206.-</w:t>
      </w:r>
      <w:r w:rsidRPr="002E3B35">
        <w:rPr>
          <w:rFonts w:ascii="Palatino Linotype" w:hAnsi="Palatino Linotype"/>
          <w:i/>
        </w:rPr>
        <w:t xml:space="preserve"> </w:t>
      </w:r>
      <w:r w:rsidRPr="002E3B35">
        <w:rPr>
          <w:rFonts w:ascii="Palatino Linotype" w:hAnsi="Palatino Linotype"/>
          <w:b/>
          <w:i/>
        </w:rPr>
        <w:t xml:space="preserve">La cosa juzgada es la sentencia que constituye verdad legal, contra ella no se admite recurso ni prueba </w:t>
      </w:r>
      <w:r w:rsidRPr="002E3B35">
        <w:rPr>
          <w:rFonts w:ascii="Palatino Linotype" w:hAnsi="Palatino Linotype" w:cs="Arial"/>
          <w:b/>
          <w:i/>
        </w:rPr>
        <w:t>que</w:t>
      </w:r>
      <w:r w:rsidRPr="002E3B35">
        <w:rPr>
          <w:rFonts w:ascii="Palatino Linotype" w:hAnsi="Palatino Linotype"/>
          <w:b/>
          <w:i/>
        </w:rPr>
        <w:t xml:space="preserve"> pueda</w:t>
      </w:r>
      <w:r w:rsidRPr="002E3B35">
        <w:rPr>
          <w:rFonts w:ascii="Palatino Linotype" w:hAnsi="Palatino Linotype"/>
          <w:i/>
        </w:rPr>
        <w:t xml:space="preserve"> discutirla, </w:t>
      </w:r>
      <w:r w:rsidRPr="002E3B35">
        <w:rPr>
          <w:rFonts w:ascii="Palatino Linotype" w:hAnsi="Palatino Linotype"/>
          <w:b/>
          <w:i/>
        </w:rPr>
        <w:t>modificarla, revocarla</w:t>
      </w:r>
      <w:r w:rsidRPr="002E3B35">
        <w:rPr>
          <w:rFonts w:ascii="Palatino Linotype" w:hAnsi="Palatino Linotype"/>
          <w:i/>
        </w:rPr>
        <w:t xml:space="preserve"> o anularla, salvo los casos expresamente determinados por la ley. </w:t>
      </w:r>
    </w:p>
    <w:p w14:paraId="32188800" w14:textId="77777777" w:rsidR="007607D5" w:rsidRDefault="007607D5" w:rsidP="00B32BFE">
      <w:pPr>
        <w:spacing w:after="0" w:line="240" w:lineRule="auto"/>
        <w:ind w:left="851" w:right="902"/>
        <w:jc w:val="both"/>
        <w:rPr>
          <w:rFonts w:ascii="Palatino Linotype" w:hAnsi="Palatino Linotype"/>
          <w:b/>
          <w:i/>
        </w:rPr>
      </w:pPr>
      <w:r w:rsidRPr="0073286C">
        <w:rPr>
          <w:rFonts w:ascii="Palatino Linotype" w:hAnsi="Palatino Linotype"/>
          <w:b/>
          <w:i/>
        </w:rPr>
        <w:t xml:space="preserve">Elementos de la cosa juzgada </w:t>
      </w:r>
    </w:p>
    <w:p w14:paraId="72264582" w14:textId="77777777" w:rsidR="002E3B35" w:rsidRPr="0073286C" w:rsidRDefault="002E3B35" w:rsidP="00B32BFE">
      <w:pPr>
        <w:spacing w:after="0" w:line="240" w:lineRule="auto"/>
        <w:ind w:left="851" w:right="902"/>
        <w:jc w:val="both"/>
        <w:rPr>
          <w:rFonts w:ascii="Palatino Linotype" w:hAnsi="Palatino Linotype"/>
          <w:b/>
          <w:i/>
        </w:rPr>
      </w:pPr>
    </w:p>
    <w:p w14:paraId="41458071" w14:textId="77777777" w:rsidR="007607D5" w:rsidRPr="0073286C" w:rsidRDefault="007607D5" w:rsidP="00B32BFE">
      <w:pPr>
        <w:spacing w:after="0" w:line="240" w:lineRule="auto"/>
        <w:ind w:left="851" w:right="902"/>
        <w:jc w:val="both"/>
        <w:rPr>
          <w:rFonts w:ascii="Palatino Linotype" w:hAnsi="Palatino Linotype"/>
          <w:i/>
        </w:rPr>
      </w:pPr>
      <w:r w:rsidRPr="0073286C">
        <w:rPr>
          <w:rFonts w:ascii="Palatino Linotype" w:hAnsi="Palatino Linotype"/>
          <w:b/>
          <w:i/>
        </w:rPr>
        <w:t>Artículo 1.207.-</w:t>
      </w:r>
      <w:r w:rsidRPr="0073286C">
        <w:rPr>
          <w:rFonts w:ascii="Palatino Linotype" w:hAnsi="Palatino Linotype"/>
          <w:i/>
        </w:rPr>
        <w:t xml:space="preserve"> Para que </w:t>
      </w:r>
      <w:r w:rsidRPr="002E3B35">
        <w:rPr>
          <w:rFonts w:ascii="Palatino Linotype" w:hAnsi="Palatino Linotype"/>
          <w:b/>
          <w:i/>
        </w:rPr>
        <w:t xml:space="preserve">la cosa juzgada surta efecto en otro juicio, es necesario que entre el caso resuelto por la </w:t>
      </w:r>
      <w:r w:rsidRPr="002E3B35">
        <w:rPr>
          <w:rFonts w:ascii="Palatino Linotype" w:hAnsi="Palatino Linotype" w:cs="Arial"/>
          <w:b/>
          <w:i/>
        </w:rPr>
        <w:t>sentencia</w:t>
      </w:r>
      <w:r w:rsidRPr="002E3B35">
        <w:rPr>
          <w:rFonts w:ascii="Palatino Linotype" w:hAnsi="Palatino Linotype"/>
          <w:b/>
          <w:i/>
        </w:rPr>
        <w:t xml:space="preserve"> y aquel en que sea invocada, concurra identidad en las cosas, las causas, las personas de los litigantes</w:t>
      </w:r>
      <w:r w:rsidRPr="0073286C">
        <w:rPr>
          <w:rFonts w:ascii="Palatino Linotype" w:hAnsi="Palatino Linotype"/>
          <w:i/>
        </w:rPr>
        <w:t xml:space="preserve">. </w:t>
      </w:r>
    </w:p>
    <w:p w14:paraId="225D3E67" w14:textId="77777777" w:rsidR="007607D5" w:rsidRPr="0073286C" w:rsidRDefault="007607D5" w:rsidP="00B32BFE">
      <w:pPr>
        <w:spacing w:after="0" w:line="240" w:lineRule="auto"/>
        <w:ind w:left="851" w:right="902"/>
        <w:jc w:val="both"/>
        <w:rPr>
          <w:rFonts w:ascii="Palatino Linotype" w:hAnsi="Palatino Linotype"/>
          <w:i/>
        </w:rPr>
      </w:pPr>
    </w:p>
    <w:p w14:paraId="6E2FB69A" w14:textId="77777777" w:rsidR="007607D5" w:rsidRDefault="007607D5" w:rsidP="00B32BFE">
      <w:pPr>
        <w:spacing w:after="0" w:line="240" w:lineRule="auto"/>
        <w:ind w:left="851" w:right="902"/>
        <w:jc w:val="both"/>
        <w:rPr>
          <w:rFonts w:ascii="Palatino Linotype" w:hAnsi="Palatino Linotype"/>
          <w:b/>
          <w:i/>
        </w:rPr>
      </w:pPr>
      <w:r w:rsidRPr="0073286C">
        <w:rPr>
          <w:rFonts w:ascii="Palatino Linotype" w:hAnsi="Palatino Linotype"/>
          <w:b/>
          <w:i/>
        </w:rPr>
        <w:t xml:space="preserve">Identidad de personas en la cosa juzgada </w:t>
      </w:r>
    </w:p>
    <w:p w14:paraId="377D3333" w14:textId="77777777" w:rsidR="002E3B35" w:rsidRPr="0073286C" w:rsidRDefault="002E3B35" w:rsidP="00B32BFE">
      <w:pPr>
        <w:spacing w:after="0" w:line="240" w:lineRule="auto"/>
        <w:ind w:left="851" w:right="902"/>
        <w:jc w:val="both"/>
        <w:rPr>
          <w:rFonts w:ascii="Palatino Linotype" w:hAnsi="Palatino Linotype"/>
          <w:b/>
          <w:i/>
        </w:rPr>
      </w:pPr>
    </w:p>
    <w:p w14:paraId="5921EBBD" w14:textId="77777777" w:rsidR="007607D5" w:rsidRPr="0073286C" w:rsidRDefault="007607D5" w:rsidP="00B32BFE">
      <w:pPr>
        <w:spacing w:after="0" w:line="240" w:lineRule="auto"/>
        <w:ind w:left="851" w:right="902"/>
        <w:jc w:val="both"/>
        <w:rPr>
          <w:rFonts w:ascii="Palatino Linotype" w:hAnsi="Palatino Linotype"/>
          <w:i/>
        </w:rPr>
      </w:pPr>
      <w:r w:rsidRPr="0073286C">
        <w:rPr>
          <w:rFonts w:ascii="Palatino Linotype" w:hAnsi="Palatino Linotype"/>
          <w:b/>
          <w:i/>
        </w:rPr>
        <w:t>Artículo 1.208.-</w:t>
      </w:r>
      <w:r w:rsidRPr="0073286C">
        <w:rPr>
          <w:rFonts w:ascii="Palatino Linotype" w:hAnsi="Palatino Linotype"/>
          <w:i/>
        </w:rPr>
        <w:t xml:space="preserve"> Se entiende que </w:t>
      </w:r>
      <w:r w:rsidRPr="002E3B35">
        <w:rPr>
          <w:rFonts w:ascii="Palatino Linotype" w:hAnsi="Palatino Linotype"/>
          <w:b/>
          <w:i/>
        </w:rPr>
        <w:t xml:space="preserve">hay identidad de personas siempre que los litigantes del segundo juicio, sean </w:t>
      </w:r>
      <w:r w:rsidRPr="002E3B35">
        <w:rPr>
          <w:rFonts w:ascii="Palatino Linotype" w:hAnsi="Palatino Linotype" w:cs="Arial"/>
          <w:b/>
          <w:i/>
        </w:rPr>
        <w:t>causahabientes</w:t>
      </w:r>
      <w:r w:rsidRPr="002E3B35">
        <w:rPr>
          <w:rFonts w:ascii="Palatino Linotype" w:hAnsi="Palatino Linotype"/>
          <w:b/>
          <w:i/>
        </w:rPr>
        <w:t xml:space="preserve"> de los que contendieron en el anterior</w:t>
      </w:r>
      <w:r w:rsidRPr="0073286C">
        <w:rPr>
          <w:rFonts w:ascii="Palatino Linotype" w:hAnsi="Palatino Linotype"/>
          <w:i/>
        </w:rPr>
        <w:t xml:space="preserve"> o estén unidos a ellos por solidaridad o indivisibilidad de las prestaciones entre los que tienen derecho a exigirlas u obligación de satisfacerlas.”</w:t>
      </w:r>
    </w:p>
    <w:p w14:paraId="055DA50E" w14:textId="77777777" w:rsidR="007607D5" w:rsidRPr="0073286C" w:rsidRDefault="007607D5" w:rsidP="00B32BFE">
      <w:pPr>
        <w:spacing w:after="0" w:line="240" w:lineRule="auto"/>
        <w:ind w:left="851" w:right="902"/>
        <w:jc w:val="both"/>
        <w:rPr>
          <w:rFonts w:ascii="Palatino Linotype" w:hAnsi="Palatino Linotype"/>
        </w:rPr>
      </w:pPr>
      <w:r w:rsidRPr="0073286C">
        <w:rPr>
          <w:rFonts w:ascii="Palatino Linotype" w:hAnsi="Palatino Linotype"/>
        </w:rPr>
        <w:t>(Énfasis añadido)</w:t>
      </w:r>
    </w:p>
    <w:p w14:paraId="7491B312" w14:textId="77777777" w:rsidR="007607D5" w:rsidRPr="00A0439C" w:rsidRDefault="007607D5" w:rsidP="007607D5">
      <w:pPr>
        <w:spacing w:before="100" w:beforeAutospacing="1" w:after="100" w:afterAutospacing="1" w:line="360" w:lineRule="auto"/>
        <w:jc w:val="both"/>
        <w:rPr>
          <w:rFonts w:ascii="Palatino Linotype" w:hAnsi="Palatino Linotype"/>
          <w:sz w:val="24"/>
          <w:szCs w:val="24"/>
        </w:rPr>
      </w:pPr>
      <w:r w:rsidRPr="00A0439C">
        <w:rPr>
          <w:rFonts w:ascii="Palatino Linotype" w:hAnsi="Palatino Linotype" w:cs="Arial"/>
          <w:sz w:val="24"/>
          <w:szCs w:val="24"/>
        </w:rPr>
        <w:t xml:space="preserve">Sirve de sustento a lo anterior, la Tesis Aislada </w:t>
      </w:r>
      <w:r w:rsidRPr="00A0439C">
        <w:rPr>
          <w:rFonts w:ascii="Palatino Linotype" w:hAnsi="Palatino Linotype"/>
          <w:sz w:val="24"/>
          <w:szCs w:val="24"/>
        </w:rPr>
        <w:t xml:space="preserve">1a. XCV/2016 (10a.) de la Décima Época de la Primera Sala de la suprema corte de Justicia de la Nación, que es del tenor literal siguiente: </w:t>
      </w:r>
    </w:p>
    <w:p w14:paraId="148FA118" w14:textId="77777777" w:rsidR="007607D5" w:rsidRPr="0073286C" w:rsidRDefault="007607D5" w:rsidP="00B32BFE">
      <w:pPr>
        <w:spacing w:after="0" w:line="240" w:lineRule="auto"/>
        <w:ind w:left="851" w:right="902"/>
        <w:jc w:val="both"/>
        <w:rPr>
          <w:rFonts w:ascii="Palatino Linotype" w:hAnsi="Palatino Linotype"/>
          <w:i/>
        </w:rPr>
      </w:pPr>
      <w:r w:rsidRPr="0073286C">
        <w:rPr>
          <w:rFonts w:ascii="Palatino Linotype" w:hAnsi="Palatino Linotype"/>
          <w:b/>
          <w:i/>
        </w:rPr>
        <w:t>COSA JUZGADA. EL ARTÍCULO 61, FRACCIÓN XI, DE LA LEY DE AMPARO QUE LA PREVÉ COMO CAUSA DE IMPROCEDENCIA DEL JUICIO RELATIVO, ES COMPATIBLE CON EL DERECHO A LA SEGURIDAD JURÍDICA</w:t>
      </w:r>
      <w:r w:rsidRPr="002E3B35">
        <w:rPr>
          <w:rFonts w:ascii="Palatino Linotype" w:hAnsi="Palatino Linotype"/>
          <w:b/>
          <w:i/>
        </w:rPr>
        <w:t xml:space="preserve">. </w:t>
      </w:r>
      <w:r w:rsidRPr="002E3B35">
        <w:rPr>
          <w:rFonts w:ascii="Palatino Linotype" w:hAnsi="Palatino Linotype"/>
          <w:i/>
        </w:rPr>
        <w:t xml:space="preserve">Conforme al precepto y porción normativa señalados, </w:t>
      </w:r>
      <w:r w:rsidRPr="002E3B35">
        <w:rPr>
          <w:rFonts w:ascii="Palatino Linotype" w:hAnsi="Palatino Linotype"/>
          <w:b/>
          <w:i/>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2E3B35">
        <w:rPr>
          <w:rFonts w:ascii="Palatino Linotype" w:hAnsi="Palatino Linotype"/>
          <w:i/>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2E3B35">
        <w:rPr>
          <w:rFonts w:ascii="Palatino Linotype" w:hAnsi="Palatino Linotype"/>
          <w:i/>
        </w:rPr>
        <w:t>inatacabilidad</w:t>
      </w:r>
      <w:proofErr w:type="spellEnd"/>
      <w:r w:rsidRPr="002E3B35">
        <w:rPr>
          <w:rFonts w:ascii="Palatino Linotype" w:hAnsi="Palatino Linotype"/>
          <w:i/>
        </w:rPr>
        <w:t xml:space="preserve"> a través de un diverso juicio constitucional, siempre que tal determinación se haya realizado</w:t>
      </w:r>
      <w:r w:rsidRPr="0073286C">
        <w:rPr>
          <w:rFonts w:ascii="Palatino Linotype" w:hAnsi="Palatino Linotype"/>
          <w:i/>
        </w:rPr>
        <w:t xml:space="preserve"> en atención a razones o circunstancias que hagan </w:t>
      </w:r>
      <w:proofErr w:type="spellStart"/>
      <w:r w:rsidRPr="0073286C">
        <w:rPr>
          <w:rFonts w:ascii="Palatino Linotype" w:hAnsi="Palatino Linotype"/>
          <w:i/>
        </w:rPr>
        <w:t>inejercitable</w:t>
      </w:r>
      <w:proofErr w:type="spellEnd"/>
      <w:r w:rsidRPr="0073286C">
        <w:rPr>
          <w:rFonts w:ascii="Palatino Linotype" w:hAnsi="Palatino Linotype"/>
          <w:i/>
        </w:rPr>
        <w:t xml:space="preserve"> la acción de amparo de modo absoluto, con independencia del juicio en que se haya efectuado, pues esta </w:t>
      </w:r>
      <w:r w:rsidRPr="0073286C">
        <w:rPr>
          <w:rFonts w:ascii="Palatino Linotype" w:hAnsi="Palatino Linotype"/>
          <w:i/>
        </w:rPr>
        <w:lastRenderedPageBreak/>
        <w:t>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14:paraId="6523CA64" w14:textId="77777777" w:rsidR="007607D5" w:rsidRPr="0073286C" w:rsidRDefault="007607D5" w:rsidP="00B32BFE">
      <w:pPr>
        <w:spacing w:after="0" w:line="240" w:lineRule="auto"/>
        <w:ind w:left="851" w:right="902"/>
        <w:jc w:val="both"/>
        <w:rPr>
          <w:rFonts w:ascii="Palatino Linotype" w:hAnsi="Palatino Linotype"/>
        </w:rPr>
      </w:pPr>
      <w:r w:rsidRPr="0073286C">
        <w:rPr>
          <w:rFonts w:ascii="Palatino Linotype" w:hAnsi="Palatino Linotype"/>
        </w:rPr>
        <w:t>(Énfasis añadido)</w:t>
      </w:r>
    </w:p>
    <w:p w14:paraId="291852C5" w14:textId="77777777" w:rsidR="007607D5" w:rsidRDefault="007607D5" w:rsidP="007607D5">
      <w:pPr>
        <w:spacing w:before="100" w:beforeAutospacing="1" w:after="100" w:afterAutospacing="1" w:line="360" w:lineRule="auto"/>
        <w:ind w:right="49"/>
        <w:jc w:val="both"/>
        <w:rPr>
          <w:rFonts w:ascii="Palatino Linotype" w:eastAsia="Calibri" w:hAnsi="Palatino Linotype" w:cs="Arial"/>
          <w:bCs/>
          <w:sz w:val="24"/>
          <w:szCs w:val="24"/>
        </w:rPr>
      </w:pPr>
      <w:r w:rsidRPr="009F71D8">
        <w:rPr>
          <w:rFonts w:ascii="Palatino Linotype" w:hAnsi="Palatino Linotype" w:cs="Arial"/>
          <w:sz w:val="24"/>
          <w:szCs w:val="24"/>
        </w:rPr>
        <w:t>Es por lo</w:t>
      </w:r>
      <w:r w:rsidR="00B32BFE">
        <w:rPr>
          <w:rFonts w:ascii="Palatino Linotype" w:hAnsi="Palatino Linotype" w:cs="Arial"/>
          <w:sz w:val="24"/>
          <w:szCs w:val="24"/>
        </w:rPr>
        <w:t xml:space="preserve"> anteriormente expuesto que, los suscritos emitimos</w:t>
      </w:r>
      <w:r w:rsidRPr="009F71D8">
        <w:rPr>
          <w:rFonts w:ascii="Palatino Linotype" w:hAnsi="Palatino Linotype" w:cs="Arial"/>
          <w:sz w:val="24"/>
          <w:szCs w:val="24"/>
        </w:rPr>
        <w:t xml:space="preserve"> </w:t>
      </w:r>
      <w:r w:rsidRPr="009F71D8">
        <w:rPr>
          <w:rFonts w:ascii="Palatino Linotype" w:hAnsi="Palatino Linotype" w:cs="Arial"/>
          <w:b/>
          <w:sz w:val="24"/>
          <w:szCs w:val="24"/>
        </w:rPr>
        <w:t>VOTO PARTICULAR</w:t>
      </w:r>
      <w:r w:rsidR="00B32BFE">
        <w:rPr>
          <w:rFonts w:ascii="Palatino Linotype" w:hAnsi="Palatino Linotype" w:cs="Arial"/>
          <w:b/>
          <w:sz w:val="24"/>
          <w:szCs w:val="24"/>
        </w:rPr>
        <w:t xml:space="preserve"> CONCURRENTE</w:t>
      </w:r>
      <w:r w:rsidRPr="009F71D8">
        <w:rPr>
          <w:rFonts w:ascii="Palatino Linotype" w:hAnsi="Palatino Linotype" w:cs="Arial"/>
          <w:sz w:val="24"/>
          <w:szCs w:val="24"/>
        </w:rPr>
        <w:t>, pues se</w:t>
      </w:r>
      <w:r>
        <w:rPr>
          <w:rFonts w:ascii="Palatino Linotype" w:hAnsi="Palatino Linotype" w:cs="Arial"/>
          <w:sz w:val="24"/>
          <w:szCs w:val="24"/>
        </w:rPr>
        <w:t xml:space="preserve"> </w:t>
      </w:r>
      <w:r w:rsidRPr="009F71D8">
        <w:rPr>
          <w:rFonts w:ascii="Palatino Linotype" w:hAnsi="Palatino Linotype" w:cs="Arial"/>
          <w:sz w:val="24"/>
          <w:szCs w:val="24"/>
        </w:rPr>
        <w:t xml:space="preserve">insiste que lo procedente </w:t>
      </w:r>
      <w:r>
        <w:rPr>
          <w:rFonts w:ascii="Palatino Linotype" w:hAnsi="Palatino Linotype" w:cs="Arial"/>
          <w:sz w:val="24"/>
          <w:szCs w:val="24"/>
        </w:rPr>
        <w:t xml:space="preserve">era señalar en resolutivos que respecto de los requerimientos que ya habían sido planteados por </w:t>
      </w:r>
      <w:r>
        <w:rPr>
          <w:rFonts w:ascii="Palatino Linotype" w:hAnsi="Palatino Linotype" w:cs="Arial"/>
          <w:b/>
          <w:sz w:val="24"/>
          <w:szCs w:val="24"/>
        </w:rPr>
        <w:t xml:space="preserve">EL RECURRENTE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AD4474">
        <w:rPr>
          <w:rFonts w:ascii="Palatino Linotype" w:hAnsi="Palatino Linotype" w:cs="Arial"/>
          <w:sz w:val="24"/>
          <w:szCs w:val="24"/>
        </w:rPr>
        <w:t>y resueltos por este Órgano Garante</w:t>
      </w:r>
      <w:r>
        <w:rPr>
          <w:rFonts w:ascii="Palatino Linotype" w:hAnsi="Palatino Linotype" w:cs="Arial"/>
          <w:b/>
          <w:sz w:val="24"/>
          <w:szCs w:val="24"/>
        </w:rPr>
        <w:t xml:space="preserve"> </w:t>
      </w:r>
      <w:r>
        <w:rPr>
          <w:rFonts w:ascii="Palatino Linotype" w:hAnsi="Palatino Linotype" w:cs="Arial"/>
          <w:sz w:val="24"/>
          <w:szCs w:val="24"/>
        </w:rPr>
        <w:t xml:space="preserve">se debería estar a lo dispuesto en los </w:t>
      </w:r>
      <w:r w:rsidR="00A0439C">
        <w:rPr>
          <w:rFonts w:ascii="Palatino Linotype" w:hAnsi="Palatino Linotype" w:cs="Arial"/>
          <w:sz w:val="24"/>
          <w:szCs w:val="24"/>
        </w:rPr>
        <w:t xml:space="preserve">diversos </w:t>
      </w:r>
      <w:r w:rsidR="00B32BFE" w:rsidRPr="00B32BFE">
        <w:rPr>
          <w:rFonts w:ascii="Palatino Linotype" w:hAnsi="Palatino Linotype"/>
          <w:sz w:val="24"/>
          <w:szCs w:val="24"/>
        </w:rPr>
        <w:t>01091/INFOEM/IP/RR/2018 y 01092/INFOEM/IP/RR/2018</w:t>
      </w:r>
      <w:r w:rsidRPr="00B32BFE">
        <w:rPr>
          <w:rFonts w:ascii="Palatino Linotype" w:hAnsi="Palatino Linotype" w:cs="Arial"/>
          <w:bCs/>
          <w:sz w:val="24"/>
          <w:szCs w:val="24"/>
        </w:rPr>
        <w:t xml:space="preserve">, </w:t>
      </w:r>
      <w:r w:rsidRPr="002601BD">
        <w:rPr>
          <w:rFonts w:ascii="Palatino Linotype" w:hAnsi="Palatino Linotype" w:cs="Arial"/>
          <w:bCs/>
          <w:sz w:val="24"/>
          <w:szCs w:val="24"/>
        </w:rPr>
        <w:t xml:space="preserve">con la finalidad de evitar resoluciones contradictorias </w:t>
      </w:r>
      <w:r w:rsidRPr="002601BD">
        <w:rPr>
          <w:rFonts w:ascii="Palatino Linotype" w:eastAsia="Calibri" w:hAnsi="Palatino Linotype" w:cs="Arial"/>
          <w:bCs/>
          <w:sz w:val="24"/>
          <w:szCs w:val="24"/>
        </w:rPr>
        <w:t>toda vez que</w:t>
      </w:r>
      <w:r>
        <w:rPr>
          <w:rFonts w:ascii="Palatino Linotype" w:eastAsia="Calibri" w:hAnsi="Palatino Linotype" w:cs="Arial"/>
          <w:bCs/>
          <w:sz w:val="24"/>
          <w:szCs w:val="24"/>
        </w:rPr>
        <w:t>,</w:t>
      </w:r>
      <w:r w:rsidRPr="002601BD">
        <w:rPr>
          <w:rFonts w:ascii="Palatino Linotype" w:eastAsia="Calibri" w:hAnsi="Palatino Linotype" w:cs="Arial"/>
          <w:bCs/>
          <w:sz w:val="24"/>
          <w:szCs w:val="24"/>
        </w:rPr>
        <w:t xml:space="preserve"> ya existió un pronunciamiento por parte de</w:t>
      </w:r>
      <w:r>
        <w:rPr>
          <w:rFonts w:ascii="Palatino Linotype" w:eastAsia="Calibri" w:hAnsi="Palatino Linotype" w:cs="Arial"/>
          <w:bCs/>
          <w:sz w:val="24"/>
          <w:szCs w:val="24"/>
        </w:rPr>
        <w:t>l</w:t>
      </w:r>
      <w:r w:rsidRPr="002601BD">
        <w:rPr>
          <w:rFonts w:ascii="Palatino Linotype" w:eastAsia="Calibri" w:hAnsi="Palatino Linotype" w:cs="Arial"/>
          <w:bCs/>
          <w:sz w:val="24"/>
          <w:szCs w:val="24"/>
        </w:rPr>
        <w:t xml:space="preserve"> Pleno</w:t>
      </w:r>
      <w:r>
        <w:rPr>
          <w:rFonts w:ascii="Palatino Linotype" w:eastAsia="Calibri" w:hAnsi="Palatino Linotype" w:cs="Arial"/>
          <w:bCs/>
          <w:sz w:val="24"/>
          <w:szCs w:val="24"/>
        </w:rPr>
        <w:t xml:space="preserve"> de este Instituto al respecto, además</w:t>
      </w:r>
      <w:r w:rsidR="00A0439C">
        <w:rPr>
          <w:rFonts w:ascii="Palatino Linotype" w:eastAsia="Calibri" w:hAnsi="Palatino Linotype" w:cs="Arial"/>
          <w:bCs/>
          <w:sz w:val="24"/>
          <w:szCs w:val="24"/>
        </w:rPr>
        <w:t xml:space="preserve"> en atención a los principios de exhaustividad y congruencia.</w:t>
      </w:r>
    </w:p>
    <w:p w14:paraId="260A3CD3" w14:textId="77777777" w:rsidR="002E3B35" w:rsidRPr="002601BD" w:rsidRDefault="002E3B35" w:rsidP="007607D5">
      <w:pPr>
        <w:spacing w:before="100" w:beforeAutospacing="1" w:after="100" w:afterAutospacing="1" w:line="360" w:lineRule="auto"/>
        <w:ind w:right="49"/>
        <w:jc w:val="both"/>
        <w:rPr>
          <w:rFonts w:ascii="Palatino Linotype" w:hAnsi="Palatino Linotype" w:cs="Arial"/>
          <w:sz w:val="24"/>
          <w:szCs w:val="24"/>
        </w:rPr>
      </w:pPr>
    </w:p>
    <w:tbl>
      <w:tblPr>
        <w:tblW w:w="8716" w:type="dxa"/>
        <w:jc w:val="center"/>
        <w:tblLayout w:type="fixed"/>
        <w:tblLook w:val="04A0" w:firstRow="1" w:lastRow="0" w:firstColumn="1" w:lastColumn="0" w:noHBand="0" w:noVBand="1"/>
      </w:tblPr>
      <w:tblGrid>
        <w:gridCol w:w="3700"/>
        <w:gridCol w:w="5016"/>
      </w:tblGrid>
      <w:tr w:rsidR="00B32BFE" w:rsidRPr="001B6F4B" w14:paraId="0475650E" w14:textId="77777777" w:rsidTr="002E3B35">
        <w:trPr>
          <w:trHeight w:val="1565"/>
          <w:jc w:val="center"/>
        </w:trPr>
        <w:tc>
          <w:tcPr>
            <w:tcW w:w="3700" w:type="dxa"/>
          </w:tcPr>
          <w:p w14:paraId="7F290CEC" w14:textId="77777777" w:rsidR="00BC3073" w:rsidRDefault="00BC3073" w:rsidP="00B32BFE">
            <w:pPr>
              <w:spacing w:after="0" w:line="240" w:lineRule="auto"/>
              <w:jc w:val="center"/>
              <w:rPr>
                <w:rFonts w:ascii="Palatino Linotype" w:hAnsi="Palatino Linotype" w:cs="Arial"/>
                <w:b/>
              </w:rPr>
            </w:pPr>
          </w:p>
          <w:p w14:paraId="64E1B30B" w14:textId="77777777" w:rsidR="00BC3073" w:rsidRDefault="00BC3073" w:rsidP="00B32BFE">
            <w:pPr>
              <w:spacing w:after="0" w:line="240" w:lineRule="auto"/>
              <w:jc w:val="center"/>
              <w:rPr>
                <w:rFonts w:ascii="Palatino Linotype" w:hAnsi="Palatino Linotype" w:cs="Arial"/>
                <w:b/>
              </w:rPr>
            </w:pPr>
          </w:p>
          <w:p w14:paraId="419E89D5" w14:textId="77777777" w:rsidR="00BC3073" w:rsidRDefault="00BC3073" w:rsidP="00B32BFE">
            <w:pPr>
              <w:spacing w:after="0" w:line="240" w:lineRule="auto"/>
              <w:jc w:val="center"/>
              <w:rPr>
                <w:rFonts w:ascii="Palatino Linotype" w:hAnsi="Palatino Linotype" w:cs="Arial"/>
                <w:b/>
              </w:rPr>
            </w:pPr>
          </w:p>
          <w:p w14:paraId="71CC246B" w14:textId="77777777" w:rsidR="00B32BFE" w:rsidRPr="00BC3073" w:rsidRDefault="00B32BFE" w:rsidP="00B32BFE">
            <w:pPr>
              <w:spacing w:after="0" w:line="240" w:lineRule="auto"/>
              <w:jc w:val="center"/>
              <w:rPr>
                <w:rFonts w:ascii="Palatino Linotype" w:hAnsi="Palatino Linotype" w:cs="Arial"/>
                <w:b/>
                <w:sz w:val="24"/>
              </w:rPr>
            </w:pPr>
            <w:r w:rsidRPr="00BC3073">
              <w:rPr>
                <w:rFonts w:ascii="Palatino Linotype" w:hAnsi="Palatino Linotype" w:cs="Arial"/>
                <w:b/>
                <w:sz w:val="24"/>
              </w:rPr>
              <w:t>EVA ABAID YAPUR</w:t>
            </w:r>
          </w:p>
          <w:p w14:paraId="3E1AE0DF" w14:textId="77777777" w:rsidR="00B32BFE" w:rsidRDefault="00B32BFE" w:rsidP="00BC3073">
            <w:pPr>
              <w:spacing w:after="0" w:line="240" w:lineRule="auto"/>
              <w:jc w:val="center"/>
              <w:rPr>
                <w:rFonts w:ascii="Palatino Linotype" w:hAnsi="Palatino Linotype" w:cs="Arial"/>
                <w:b/>
                <w:sz w:val="24"/>
              </w:rPr>
            </w:pPr>
            <w:r w:rsidRPr="00BC3073">
              <w:rPr>
                <w:rFonts w:ascii="Palatino Linotype" w:hAnsi="Palatino Linotype" w:cs="Arial"/>
                <w:b/>
                <w:sz w:val="24"/>
              </w:rPr>
              <w:t>COMISIONADA</w:t>
            </w:r>
          </w:p>
          <w:p w14:paraId="301050C0" w14:textId="144EA835" w:rsidR="001B6B5A" w:rsidRPr="006546BA" w:rsidRDefault="001B6B5A" w:rsidP="00BC3073">
            <w:pPr>
              <w:spacing w:after="0" w:line="240" w:lineRule="auto"/>
              <w:jc w:val="center"/>
              <w:rPr>
                <w:rFonts w:ascii="Palatino Linotype" w:hAnsi="Palatino Linotype" w:cs="Arial"/>
                <w:b/>
              </w:rPr>
            </w:pPr>
            <w:r>
              <w:rPr>
                <w:rFonts w:ascii="Palatino Linotype" w:hAnsi="Palatino Linotype" w:cs="Arial"/>
                <w:b/>
                <w:sz w:val="24"/>
              </w:rPr>
              <w:t>(RÚBRICA)</w:t>
            </w:r>
          </w:p>
        </w:tc>
        <w:tc>
          <w:tcPr>
            <w:tcW w:w="5016" w:type="dxa"/>
          </w:tcPr>
          <w:p w14:paraId="6782F486" w14:textId="77777777" w:rsidR="00BC3073" w:rsidRDefault="00BC3073" w:rsidP="00B32BFE">
            <w:pPr>
              <w:spacing w:after="0" w:line="240" w:lineRule="auto"/>
              <w:jc w:val="center"/>
              <w:rPr>
                <w:rFonts w:ascii="Palatino Linotype" w:hAnsi="Palatino Linotype" w:cs="Arial"/>
                <w:b/>
              </w:rPr>
            </w:pPr>
          </w:p>
          <w:p w14:paraId="25EB95F8" w14:textId="77777777" w:rsidR="00BC3073" w:rsidRDefault="00BC3073" w:rsidP="00B32BFE">
            <w:pPr>
              <w:spacing w:after="0" w:line="240" w:lineRule="auto"/>
              <w:jc w:val="center"/>
              <w:rPr>
                <w:rFonts w:ascii="Palatino Linotype" w:hAnsi="Palatino Linotype" w:cs="Arial"/>
                <w:b/>
              </w:rPr>
            </w:pPr>
          </w:p>
          <w:p w14:paraId="59E5040A" w14:textId="77777777" w:rsidR="00BC3073" w:rsidRDefault="00BC3073" w:rsidP="00B32BFE">
            <w:pPr>
              <w:spacing w:after="0" w:line="240" w:lineRule="auto"/>
              <w:jc w:val="center"/>
              <w:rPr>
                <w:rFonts w:ascii="Palatino Linotype" w:hAnsi="Palatino Linotype" w:cs="Arial"/>
                <w:b/>
              </w:rPr>
            </w:pPr>
          </w:p>
          <w:p w14:paraId="7CF6AB04" w14:textId="77777777" w:rsidR="00B32BFE" w:rsidRPr="00BC3073" w:rsidRDefault="00B32BFE" w:rsidP="00B32BFE">
            <w:pPr>
              <w:spacing w:after="0" w:line="240" w:lineRule="auto"/>
              <w:jc w:val="center"/>
              <w:rPr>
                <w:rFonts w:ascii="Palatino Linotype" w:hAnsi="Palatino Linotype" w:cs="Arial"/>
                <w:b/>
                <w:sz w:val="24"/>
              </w:rPr>
            </w:pPr>
            <w:r w:rsidRPr="00BC3073">
              <w:rPr>
                <w:rFonts w:ascii="Palatino Linotype" w:hAnsi="Palatino Linotype" w:cs="Arial"/>
                <w:b/>
                <w:sz w:val="24"/>
              </w:rPr>
              <w:t>JOSÉ GUADALUPE LUNA HERNÁNDEZ</w:t>
            </w:r>
          </w:p>
          <w:p w14:paraId="2897A4B7" w14:textId="77777777" w:rsidR="00B32BFE" w:rsidRDefault="00B32BFE" w:rsidP="00BC3073">
            <w:pPr>
              <w:spacing w:after="0" w:line="240" w:lineRule="auto"/>
              <w:jc w:val="center"/>
              <w:rPr>
                <w:rFonts w:ascii="Palatino Linotype" w:hAnsi="Palatino Linotype" w:cs="Arial"/>
                <w:b/>
                <w:sz w:val="24"/>
              </w:rPr>
            </w:pPr>
            <w:r w:rsidRPr="00BC3073">
              <w:rPr>
                <w:rFonts w:ascii="Palatino Linotype" w:hAnsi="Palatino Linotype" w:cs="Arial"/>
                <w:b/>
                <w:sz w:val="24"/>
              </w:rPr>
              <w:t>COMISIONADO</w:t>
            </w:r>
          </w:p>
          <w:p w14:paraId="4108AA2D" w14:textId="1E87F866" w:rsidR="001B6B5A" w:rsidRPr="006546BA" w:rsidRDefault="001B6B5A" w:rsidP="00BC3073">
            <w:pPr>
              <w:spacing w:after="0" w:line="240" w:lineRule="auto"/>
              <w:jc w:val="center"/>
              <w:rPr>
                <w:rFonts w:ascii="Palatino Linotype" w:hAnsi="Palatino Linotype" w:cs="Arial"/>
                <w:b/>
              </w:rPr>
            </w:pPr>
            <w:r>
              <w:rPr>
                <w:rFonts w:ascii="Palatino Linotype" w:hAnsi="Palatino Linotype" w:cs="Arial"/>
                <w:b/>
                <w:sz w:val="24"/>
              </w:rPr>
              <w:t>(RÚBRICA)</w:t>
            </w:r>
            <w:bookmarkStart w:id="0" w:name="_GoBack"/>
            <w:bookmarkEnd w:id="0"/>
          </w:p>
        </w:tc>
      </w:tr>
    </w:tbl>
    <w:p w14:paraId="26B2825C" w14:textId="77777777" w:rsidR="00B32BFE" w:rsidRPr="00BC3073" w:rsidRDefault="00B32BFE" w:rsidP="00B32BFE">
      <w:pPr>
        <w:widowControl w:val="0"/>
        <w:spacing w:after="0" w:line="240" w:lineRule="auto"/>
        <w:ind w:right="51"/>
        <w:jc w:val="both"/>
        <w:rPr>
          <w:rFonts w:ascii="Palatino Linotype" w:eastAsia="Calibri" w:hAnsi="Palatino Linotype" w:cs="Arial"/>
          <w:color w:val="000000" w:themeColor="text1"/>
          <w:sz w:val="12"/>
          <w:szCs w:val="20"/>
        </w:rPr>
      </w:pPr>
    </w:p>
    <w:p w14:paraId="293FC6B6" w14:textId="77777777" w:rsidR="007607D5" w:rsidRPr="00A127D4" w:rsidRDefault="007607D5" w:rsidP="00B32BFE">
      <w:pPr>
        <w:widowControl w:val="0"/>
        <w:spacing w:after="0" w:line="240" w:lineRule="auto"/>
        <w:ind w:right="51"/>
        <w:jc w:val="both"/>
        <w:rPr>
          <w:rFonts w:ascii="Palatino Linotype" w:hAnsi="Palatino Linotype" w:cs="Arial"/>
          <w:sz w:val="20"/>
          <w:szCs w:val="20"/>
        </w:rPr>
      </w:pPr>
      <w:r w:rsidRPr="00A127D4">
        <w:rPr>
          <w:rFonts w:ascii="Palatino Linotype" w:eastAsia="Calibri" w:hAnsi="Palatino Linotype" w:cs="Arial"/>
          <w:color w:val="000000" w:themeColor="text1"/>
          <w:sz w:val="20"/>
          <w:szCs w:val="20"/>
        </w:rPr>
        <w:t>Esta hoja corresponde al voto particular</w:t>
      </w:r>
      <w:r w:rsidR="00B32BFE">
        <w:rPr>
          <w:rFonts w:ascii="Palatino Linotype" w:eastAsia="Calibri" w:hAnsi="Palatino Linotype" w:cs="Arial"/>
          <w:color w:val="000000" w:themeColor="text1"/>
          <w:sz w:val="20"/>
          <w:szCs w:val="20"/>
        </w:rPr>
        <w:t xml:space="preserve"> concurrente</w:t>
      </w:r>
      <w:r w:rsidRPr="00A127D4">
        <w:rPr>
          <w:rFonts w:ascii="Palatino Linotype" w:eastAsia="Calibri" w:hAnsi="Palatino Linotype" w:cs="Arial"/>
          <w:color w:val="000000" w:themeColor="text1"/>
          <w:sz w:val="20"/>
          <w:szCs w:val="20"/>
        </w:rPr>
        <w:t xml:space="preserve"> emitido en el recurso de revisión </w:t>
      </w:r>
      <w:r w:rsidR="00B32BFE">
        <w:rPr>
          <w:rFonts w:ascii="Palatino Linotype" w:hAnsi="Palatino Linotype" w:cs="Arial"/>
          <w:bCs/>
          <w:sz w:val="20"/>
          <w:szCs w:val="20"/>
        </w:rPr>
        <w:t>03545</w:t>
      </w:r>
      <w:r w:rsidRPr="00A127D4">
        <w:rPr>
          <w:rFonts w:ascii="Palatino Linotype" w:hAnsi="Palatino Linotype" w:cs="Arial"/>
          <w:bCs/>
          <w:sz w:val="20"/>
          <w:szCs w:val="20"/>
        </w:rPr>
        <w:t>/INFOEM/IP/RR/201</w:t>
      </w:r>
      <w:r w:rsidR="00B32BFE">
        <w:rPr>
          <w:rFonts w:ascii="Palatino Linotype" w:hAnsi="Palatino Linotype" w:cs="Arial"/>
          <w:bCs/>
          <w:sz w:val="20"/>
          <w:szCs w:val="20"/>
        </w:rPr>
        <w:t>8</w:t>
      </w:r>
      <w:r w:rsidRPr="00A127D4">
        <w:rPr>
          <w:rFonts w:ascii="Palatino Linotype" w:hAnsi="Palatino Linotype" w:cs="Arial"/>
          <w:bCs/>
          <w:sz w:val="20"/>
          <w:szCs w:val="20"/>
        </w:rPr>
        <w:t>,</w:t>
      </w:r>
      <w:r w:rsidRPr="00A127D4">
        <w:rPr>
          <w:rFonts w:ascii="Palatino Linotype" w:hAnsi="Palatino Linotype" w:cs="Arial"/>
          <w:b/>
          <w:bCs/>
          <w:sz w:val="20"/>
          <w:szCs w:val="20"/>
        </w:rPr>
        <w:t xml:space="preserve"> </w:t>
      </w:r>
      <w:r w:rsidRPr="00A127D4">
        <w:rPr>
          <w:rFonts w:ascii="Palatino Linotype" w:hAnsi="Palatino Linotype" w:cs="Arial"/>
          <w:bCs/>
          <w:sz w:val="20"/>
          <w:szCs w:val="20"/>
        </w:rPr>
        <w:t xml:space="preserve">aprobado el </w:t>
      </w:r>
      <w:r w:rsidR="00B32BFE">
        <w:rPr>
          <w:rFonts w:ascii="Palatino Linotype" w:hAnsi="Palatino Linotype" w:cs="Arial"/>
          <w:bCs/>
          <w:sz w:val="20"/>
          <w:szCs w:val="20"/>
        </w:rPr>
        <w:t xml:space="preserve">veintidós de noviembre de </w:t>
      </w:r>
      <w:r w:rsidRPr="00A127D4">
        <w:rPr>
          <w:rFonts w:ascii="Palatino Linotype" w:hAnsi="Palatino Linotype" w:cs="Arial"/>
          <w:bCs/>
          <w:sz w:val="20"/>
          <w:szCs w:val="20"/>
        </w:rPr>
        <w:t>dos mil dieci</w:t>
      </w:r>
      <w:r w:rsidR="00B32BFE">
        <w:rPr>
          <w:rFonts w:ascii="Palatino Linotype" w:hAnsi="Palatino Linotype" w:cs="Arial"/>
          <w:bCs/>
          <w:sz w:val="20"/>
          <w:szCs w:val="20"/>
        </w:rPr>
        <w:t>ocho</w:t>
      </w:r>
      <w:r w:rsidRPr="00A127D4">
        <w:rPr>
          <w:rFonts w:ascii="Palatino Linotype" w:hAnsi="Palatino Linotype" w:cs="Arial"/>
          <w:bCs/>
          <w:sz w:val="20"/>
          <w:szCs w:val="20"/>
        </w:rPr>
        <w:t>.</w:t>
      </w:r>
    </w:p>
    <w:p w14:paraId="0EB6EBF1" w14:textId="77777777" w:rsidR="007607D5" w:rsidRPr="00BC3073" w:rsidRDefault="007607D5" w:rsidP="00B32BFE">
      <w:pPr>
        <w:spacing w:after="0" w:line="240" w:lineRule="auto"/>
        <w:ind w:right="51"/>
        <w:jc w:val="both"/>
        <w:rPr>
          <w:rFonts w:ascii="Palatino Linotype" w:eastAsia="Calibri" w:hAnsi="Palatino Linotype" w:cs="Arial"/>
          <w:color w:val="000000" w:themeColor="text1"/>
          <w:sz w:val="8"/>
          <w:szCs w:val="20"/>
        </w:rPr>
      </w:pPr>
    </w:p>
    <w:p w14:paraId="1A863C64" w14:textId="65759C36" w:rsidR="007607D5" w:rsidRPr="00A127D4" w:rsidRDefault="007607D5" w:rsidP="00B32BFE">
      <w:pPr>
        <w:spacing w:after="0" w:line="240" w:lineRule="auto"/>
        <w:ind w:right="51"/>
        <w:jc w:val="both"/>
        <w:rPr>
          <w:sz w:val="20"/>
          <w:szCs w:val="20"/>
        </w:rPr>
      </w:pPr>
      <w:r w:rsidRPr="00A127D4">
        <w:rPr>
          <w:rFonts w:ascii="Palatino Linotype" w:eastAsia="Calibri" w:hAnsi="Palatino Linotype" w:cs="Arial"/>
          <w:color w:val="000000" w:themeColor="text1"/>
          <w:sz w:val="20"/>
          <w:szCs w:val="20"/>
        </w:rPr>
        <w:t>YSM/</w:t>
      </w:r>
      <w:r w:rsidR="00CF2BC8">
        <w:rPr>
          <w:rFonts w:ascii="Palatino Linotype" w:eastAsia="Calibri" w:hAnsi="Palatino Linotype" w:cs="Arial"/>
          <w:color w:val="000000" w:themeColor="text1"/>
          <w:sz w:val="20"/>
          <w:szCs w:val="20"/>
        </w:rPr>
        <w:t>SAVP/</w:t>
      </w:r>
      <w:r w:rsidRPr="00A127D4">
        <w:rPr>
          <w:rFonts w:ascii="Palatino Linotype" w:eastAsia="Calibri" w:hAnsi="Palatino Linotype" w:cs="Arial"/>
          <w:color w:val="000000" w:themeColor="text1"/>
          <w:sz w:val="20"/>
          <w:szCs w:val="20"/>
        </w:rPr>
        <w:t>AMV</w:t>
      </w:r>
    </w:p>
    <w:sectPr w:rsidR="007607D5" w:rsidRPr="00A127D4"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32451" w14:textId="77777777" w:rsidR="00B027C0" w:rsidRDefault="00B027C0" w:rsidP="007607D5">
      <w:pPr>
        <w:spacing w:after="0" w:line="240" w:lineRule="auto"/>
      </w:pPr>
      <w:r>
        <w:separator/>
      </w:r>
    </w:p>
  </w:endnote>
  <w:endnote w:type="continuationSeparator" w:id="0">
    <w:p w14:paraId="13193CD4" w14:textId="77777777" w:rsidR="00B027C0" w:rsidRDefault="00B027C0" w:rsidP="0076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BA016" w14:textId="77777777" w:rsidR="007607D5" w:rsidRDefault="007607D5" w:rsidP="00DC5C4E">
    <w:pPr>
      <w:pStyle w:val="Piedepgina"/>
      <w:tabs>
        <w:tab w:val="clear" w:pos="4252"/>
        <w:tab w:val="left" w:pos="4228"/>
      </w:tabs>
      <w:rPr>
        <w:rFonts w:ascii="Palatino Linotype" w:hAnsi="Palatino Linotype" w:cs="Arial"/>
        <w:b/>
        <w:bCs/>
        <w:sz w:val="20"/>
        <w:szCs w:val="20"/>
      </w:rPr>
    </w:pPr>
  </w:p>
  <w:p w14:paraId="14E93281" w14:textId="77777777" w:rsidR="005C7C8F" w:rsidRDefault="001B6B5A" w:rsidP="00DC5C4E">
    <w:pPr>
      <w:pStyle w:val="Piedepgina"/>
      <w:tabs>
        <w:tab w:val="clear" w:pos="4252"/>
        <w:tab w:val="left" w:pos="4228"/>
      </w:tabs>
      <w:rPr>
        <w:rFonts w:ascii="Palatino Linotype" w:hAnsi="Palatino Linotype" w:cs="Arial"/>
        <w:b/>
        <w:bCs/>
        <w:sz w:val="20"/>
        <w:szCs w:val="20"/>
      </w:rPr>
    </w:pPr>
  </w:p>
  <w:p w14:paraId="51432F6B" w14:textId="77777777" w:rsidR="005C7C8F" w:rsidRDefault="001B6B5A" w:rsidP="00DC5C4E">
    <w:pPr>
      <w:pStyle w:val="Piedepgina"/>
      <w:tabs>
        <w:tab w:val="clear" w:pos="4252"/>
        <w:tab w:val="left" w:pos="4228"/>
      </w:tabs>
      <w:rPr>
        <w:rFonts w:ascii="Palatino Linotype" w:hAnsi="Palatino Linotype" w:cs="Arial"/>
        <w:b/>
        <w:bCs/>
        <w:sz w:val="20"/>
        <w:szCs w:val="20"/>
      </w:rPr>
    </w:pPr>
  </w:p>
  <w:p w14:paraId="197EEA53" w14:textId="77777777" w:rsidR="005C7C8F" w:rsidRDefault="001B6B5A" w:rsidP="00DC5C4E">
    <w:pPr>
      <w:pStyle w:val="Piedepgina"/>
      <w:rPr>
        <w:rFonts w:ascii="Palatino Linotype" w:hAnsi="Palatino Linotype" w:cs="Arial"/>
        <w:b/>
        <w:bCs/>
        <w:sz w:val="20"/>
        <w:szCs w:val="20"/>
      </w:rPr>
    </w:pPr>
  </w:p>
  <w:p w14:paraId="34F02C73" w14:textId="77777777" w:rsidR="005C7C8F" w:rsidRPr="00F12350" w:rsidRDefault="0072672C"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B6B5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B6B5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7CE5F763" w14:textId="77777777" w:rsidR="005C7C8F" w:rsidRDefault="001B6B5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0E797" w14:textId="77777777" w:rsidR="00B027C0" w:rsidRDefault="00B027C0" w:rsidP="007607D5">
      <w:pPr>
        <w:spacing w:after="0" w:line="240" w:lineRule="auto"/>
      </w:pPr>
      <w:r>
        <w:separator/>
      </w:r>
    </w:p>
  </w:footnote>
  <w:footnote w:type="continuationSeparator" w:id="0">
    <w:p w14:paraId="5B70EEF6" w14:textId="77777777" w:rsidR="00B027C0" w:rsidRDefault="00B027C0" w:rsidP="007607D5">
      <w:pPr>
        <w:spacing w:after="0" w:line="240" w:lineRule="auto"/>
      </w:pPr>
      <w:r>
        <w:continuationSeparator/>
      </w:r>
    </w:p>
  </w:footnote>
  <w:footnote w:id="1">
    <w:p w14:paraId="185CE8EB" w14:textId="77777777" w:rsidR="00B32BFE" w:rsidRPr="00B32BFE" w:rsidRDefault="00B32BFE">
      <w:pPr>
        <w:pStyle w:val="Textonotapie"/>
        <w:rPr>
          <w:rFonts w:ascii="Palatino Linotype" w:hAnsi="Palatino Linotype"/>
          <w:sz w:val="16"/>
          <w:szCs w:val="16"/>
        </w:rPr>
      </w:pPr>
      <w:r w:rsidRPr="00B32BFE">
        <w:rPr>
          <w:rStyle w:val="Refdenotaalpie"/>
          <w:rFonts w:ascii="Palatino Linotype" w:hAnsi="Palatino Linotype"/>
          <w:sz w:val="16"/>
          <w:szCs w:val="16"/>
        </w:rPr>
        <w:footnoteRef/>
      </w:r>
      <w:r w:rsidRPr="00B32BFE">
        <w:rPr>
          <w:rFonts w:ascii="Palatino Linotype" w:hAnsi="Palatino Linotype"/>
          <w:sz w:val="16"/>
          <w:szCs w:val="16"/>
        </w:rPr>
        <w:t xml:space="preserve"> Artículo 1.205.- Hay cosa juzgada cuando la sentencia ha causado ejecutoria.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6139" w14:textId="77777777" w:rsidR="005C7C8F" w:rsidRDefault="001B6B5A">
    <w:pPr>
      <w:pStyle w:val="Encabezado"/>
    </w:pPr>
    <w:r>
      <w:rPr>
        <w:noProof/>
      </w:rPr>
      <w:pict w14:anchorId="0EDED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2EB5" w14:textId="77777777" w:rsidR="00894E9C" w:rsidRDefault="0072672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5554A90" wp14:editId="041A400C">
          <wp:simplePos x="0" y="0"/>
          <wp:positionH relativeFrom="column">
            <wp:posOffset>-727710</wp:posOffset>
          </wp:positionH>
          <wp:positionV relativeFrom="paragraph">
            <wp:posOffset>-374015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14:paraId="5A5DA8EC" w14:textId="77777777" w:rsidR="00894E9C" w:rsidRDefault="001B6B5A" w:rsidP="00DC5C4E">
    <w:pPr>
      <w:pStyle w:val="Encabezado"/>
      <w:tabs>
        <w:tab w:val="clear" w:pos="4252"/>
        <w:tab w:val="clear" w:pos="8504"/>
        <w:tab w:val="left" w:pos="2326"/>
      </w:tabs>
      <w:jc w:val="right"/>
      <w:rPr>
        <w:rFonts w:ascii="Palatino Linotype" w:hAnsi="Palatino Linotype" w:cs="Arial"/>
        <w:sz w:val="20"/>
        <w:szCs w:val="20"/>
      </w:rPr>
    </w:pPr>
  </w:p>
  <w:p w14:paraId="56265766" w14:textId="77777777" w:rsidR="00A0439C" w:rsidRDefault="00A0439C" w:rsidP="00DC5C4E">
    <w:pPr>
      <w:pStyle w:val="Encabezado"/>
      <w:tabs>
        <w:tab w:val="clear" w:pos="4252"/>
        <w:tab w:val="clear" w:pos="8504"/>
        <w:tab w:val="left" w:pos="2326"/>
      </w:tabs>
      <w:jc w:val="right"/>
      <w:rPr>
        <w:rFonts w:ascii="Palatino Linotype" w:hAnsi="Palatino Linotype" w:cs="Arial"/>
        <w:sz w:val="20"/>
        <w:szCs w:val="20"/>
      </w:rPr>
    </w:pPr>
  </w:p>
  <w:p w14:paraId="17F3D2F4" w14:textId="77777777" w:rsidR="005C7C8F" w:rsidRDefault="0072672C"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7607D5">
      <w:rPr>
        <w:rFonts w:ascii="Palatino Linotype" w:hAnsi="Palatino Linotype" w:cs="Arial"/>
        <w:sz w:val="20"/>
        <w:szCs w:val="20"/>
      </w:rPr>
      <w:t xml:space="preserve"> CONCURRENTE</w:t>
    </w:r>
  </w:p>
  <w:p w14:paraId="7FF08785" w14:textId="77777777" w:rsidR="00A91250" w:rsidRDefault="0072672C"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607D5">
      <w:rPr>
        <w:rFonts w:ascii="Palatino Linotype" w:hAnsi="Palatino Linotype" w:cs="Arial"/>
        <w:sz w:val="20"/>
        <w:szCs w:val="20"/>
      </w:rPr>
      <w:t>3545</w:t>
    </w:r>
    <w:r w:rsidRPr="00A91250">
      <w:rPr>
        <w:rFonts w:ascii="Palatino Linotype" w:hAnsi="Palatino Linotype" w:cs="Arial"/>
        <w:sz w:val="20"/>
        <w:szCs w:val="20"/>
      </w:rPr>
      <w:t>/INFOEM/IP/RR/201</w:t>
    </w:r>
    <w:r w:rsidR="007607D5">
      <w:rPr>
        <w:rFonts w:ascii="Palatino Linotype" w:hAnsi="Palatino Linotype" w:cs="Arial"/>
        <w:sz w:val="20"/>
        <w:szCs w:val="20"/>
      </w:rPr>
      <w:t>8</w:t>
    </w:r>
  </w:p>
  <w:p w14:paraId="498BF1F3" w14:textId="77777777" w:rsidR="00D406EF" w:rsidRDefault="001B6B5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w14:anchorId="7E17B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59.75pt;height:85.95pt;rotation:315;z-index:-251657216;mso-position-horizontal:center;mso-position-horizontal-relative:margin;mso-position-vertical:center;mso-position-vertical-relative:margin" o:allowincell="f" fillcolor="#bfbfbf [2412]" stroked="f" strokecolor="black [3213]">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4232" w14:textId="77777777" w:rsidR="005C7C8F" w:rsidRDefault="001B6B5A">
    <w:pPr>
      <w:pStyle w:val="Encabezado"/>
    </w:pPr>
    <w:r>
      <w:rPr>
        <w:noProof/>
      </w:rPr>
      <w:pict w14:anchorId="6EA05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83CF8"/>
    <w:multiLevelType w:val="hybridMultilevel"/>
    <w:tmpl w:val="574440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D5"/>
    <w:rsid w:val="00107A38"/>
    <w:rsid w:val="00127BBA"/>
    <w:rsid w:val="001B6B5A"/>
    <w:rsid w:val="00251F88"/>
    <w:rsid w:val="002A2F3B"/>
    <w:rsid w:val="002E3B35"/>
    <w:rsid w:val="003E0EF5"/>
    <w:rsid w:val="004E384E"/>
    <w:rsid w:val="004F2F57"/>
    <w:rsid w:val="00662CB3"/>
    <w:rsid w:val="0072672C"/>
    <w:rsid w:val="007607D5"/>
    <w:rsid w:val="0077317B"/>
    <w:rsid w:val="009D013F"/>
    <w:rsid w:val="00A0439C"/>
    <w:rsid w:val="00A3041A"/>
    <w:rsid w:val="00AD0710"/>
    <w:rsid w:val="00B027C0"/>
    <w:rsid w:val="00B32BFE"/>
    <w:rsid w:val="00BC3073"/>
    <w:rsid w:val="00C23B43"/>
    <w:rsid w:val="00C9714C"/>
    <w:rsid w:val="00CF2BC8"/>
    <w:rsid w:val="00F05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129D"/>
  <w15:chartTrackingRefBased/>
  <w15:docId w15:val="{A338D580-498E-4DE6-9EA9-C3208B6C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7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07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607D5"/>
    <w:rPr>
      <w:rFonts w:eastAsiaTheme="minorEastAsia"/>
      <w:sz w:val="24"/>
      <w:szCs w:val="24"/>
      <w:lang w:val="es-ES_tradnl" w:eastAsia="es-ES"/>
    </w:rPr>
  </w:style>
  <w:style w:type="paragraph" w:styleId="Piedepgina">
    <w:name w:val="footer"/>
    <w:basedOn w:val="Normal"/>
    <w:link w:val="PiedepginaCar"/>
    <w:uiPriority w:val="99"/>
    <w:unhideWhenUsed/>
    <w:rsid w:val="007607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607D5"/>
    <w:rPr>
      <w:rFonts w:eastAsiaTheme="minorEastAsia"/>
      <w:sz w:val="24"/>
      <w:szCs w:val="24"/>
      <w:lang w:val="es-ES_tradnl" w:eastAsia="es-ES"/>
    </w:rPr>
  </w:style>
  <w:style w:type="table" w:styleId="Tablaconcuadrcula">
    <w:name w:val="Table Grid"/>
    <w:basedOn w:val="Tablanormal"/>
    <w:uiPriority w:val="39"/>
    <w:rsid w:val="00760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7607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607D5"/>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B32B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2BFE"/>
    <w:rPr>
      <w:sz w:val="20"/>
      <w:szCs w:val="20"/>
    </w:rPr>
  </w:style>
  <w:style w:type="character" w:styleId="Refdenotaalpie">
    <w:name w:val="footnote reference"/>
    <w:basedOn w:val="Fuentedeprrafopredeter"/>
    <w:uiPriority w:val="99"/>
    <w:semiHidden/>
    <w:unhideWhenUsed/>
    <w:rsid w:val="00B32BFE"/>
    <w:rPr>
      <w:vertAlign w:val="superscript"/>
    </w:rPr>
  </w:style>
  <w:style w:type="paragraph" w:styleId="Textodeglobo">
    <w:name w:val="Balloon Text"/>
    <w:basedOn w:val="Normal"/>
    <w:link w:val="TextodegloboCar"/>
    <w:uiPriority w:val="99"/>
    <w:semiHidden/>
    <w:unhideWhenUsed/>
    <w:rsid w:val="002E3B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B35"/>
    <w:rPr>
      <w:rFonts w:ascii="Segoe UI" w:hAnsi="Segoe UI" w:cs="Segoe UI"/>
      <w:sz w:val="18"/>
      <w:szCs w:val="18"/>
    </w:rPr>
  </w:style>
  <w:style w:type="character" w:styleId="Refdecomentario">
    <w:name w:val="annotation reference"/>
    <w:basedOn w:val="Fuentedeprrafopredeter"/>
    <w:uiPriority w:val="99"/>
    <w:semiHidden/>
    <w:unhideWhenUsed/>
    <w:rsid w:val="009D013F"/>
    <w:rPr>
      <w:sz w:val="16"/>
      <w:szCs w:val="16"/>
    </w:rPr>
  </w:style>
  <w:style w:type="paragraph" w:styleId="Textocomentario">
    <w:name w:val="annotation text"/>
    <w:basedOn w:val="Normal"/>
    <w:link w:val="TextocomentarioCar"/>
    <w:uiPriority w:val="99"/>
    <w:semiHidden/>
    <w:unhideWhenUsed/>
    <w:rsid w:val="009D01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013F"/>
    <w:rPr>
      <w:sz w:val="20"/>
      <w:szCs w:val="20"/>
    </w:rPr>
  </w:style>
  <w:style w:type="paragraph" w:styleId="Asuntodelcomentario">
    <w:name w:val="annotation subject"/>
    <w:basedOn w:val="Textocomentario"/>
    <w:next w:val="Textocomentario"/>
    <w:link w:val="AsuntodelcomentarioCar"/>
    <w:uiPriority w:val="99"/>
    <w:semiHidden/>
    <w:unhideWhenUsed/>
    <w:rsid w:val="009D013F"/>
    <w:rPr>
      <w:b/>
      <w:bCs/>
    </w:rPr>
  </w:style>
  <w:style w:type="character" w:customStyle="1" w:styleId="AsuntodelcomentarioCar">
    <w:name w:val="Asunto del comentario Car"/>
    <w:basedOn w:val="TextocomentarioCar"/>
    <w:link w:val="Asuntodelcomentario"/>
    <w:uiPriority w:val="99"/>
    <w:semiHidden/>
    <w:rsid w:val="009D01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F3A8-7F64-4C55-AE7D-2DDF8CF4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1442</Words>
  <Characters>7934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2018-11-27T23:46:00Z</cp:lastPrinted>
  <dcterms:created xsi:type="dcterms:W3CDTF">2018-11-27T23:21:00Z</dcterms:created>
  <dcterms:modified xsi:type="dcterms:W3CDTF">2019-01-11T03:16:00Z</dcterms:modified>
</cp:coreProperties>
</file>